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0CCF" w:rsidRDefault="000E0F51" w:rsidP="003E0CCF">
      <w:pPr>
        <w:pStyle w:val="Nagwek1"/>
        <w:spacing w:before="0" w:after="120" w:line="360" w:lineRule="auto"/>
        <w:rPr>
          <w:rFonts w:ascii="Arial" w:hAnsi="Arial" w:cs="Arial"/>
          <w:color w:val="auto"/>
          <w:sz w:val="20"/>
          <w:szCs w:val="20"/>
        </w:rPr>
      </w:pPr>
      <w:bookmarkStart w:id="0" w:name="_GoBack"/>
      <w:bookmarkEnd w:id="0"/>
      <w:r w:rsidRPr="006E421B">
        <w:rPr>
          <w:rFonts w:ascii="Arial" w:hAnsi="Arial" w:cs="Arial"/>
          <w:color w:val="auto"/>
          <w:sz w:val="20"/>
          <w:szCs w:val="20"/>
        </w:rPr>
        <w:t>Załącznik 3.</w:t>
      </w:r>
      <w:r w:rsidR="00A71244" w:rsidRPr="006E421B">
        <w:rPr>
          <w:rFonts w:ascii="Arial" w:hAnsi="Arial" w:cs="Arial"/>
          <w:color w:val="auto"/>
          <w:sz w:val="20"/>
          <w:szCs w:val="20"/>
        </w:rPr>
        <w:t>2</w:t>
      </w:r>
      <w:r w:rsidRPr="006E421B">
        <w:rPr>
          <w:rFonts w:ascii="Arial" w:hAnsi="Arial" w:cs="Arial"/>
          <w:color w:val="auto"/>
          <w:sz w:val="20"/>
          <w:szCs w:val="20"/>
        </w:rPr>
        <w:t xml:space="preserve">  </w:t>
      </w:r>
    </w:p>
    <w:p w:rsidR="00860A36" w:rsidRPr="003E0CCF" w:rsidRDefault="00860A36" w:rsidP="003E0CCF">
      <w:pPr>
        <w:pStyle w:val="Nagwek1"/>
        <w:spacing w:before="0" w:after="120" w:line="360" w:lineRule="auto"/>
        <w:jc w:val="both"/>
        <w:rPr>
          <w:rFonts w:ascii="Arial" w:hAnsi="Arial" w:cs="Arial"/>
          <w:color w:val="auto"/>
          <w:sz w:val="20"/>
          <w:szCs w:val="20"/>
        </w:rPr>
      </w:pPr>
      <w:r w:rsidRPr="006E421B">
        <w:rPr>
          <w:rFonts w:ascii="Arial" w:hAnsi="Arial" w:cs="Arial"/>
          <w:color w:val="auto"/>
          <w:sz w:val="20"/>
          <w:szCs w:val="20"/>
        </w:rPr>
        <w:t>Kryteria merytoryczne ogólne i kryteria merytoryczne szczegółowe</w:t>
      </w:r>
      <w:r>
        <w:rPr>
          <w:rFonts w:ascii="Arial" w:hAnsi="Arial" w:cs="Arial"/>
          <w:color w:val="auto"/>
          <w:sz w:val="20"/>
          <w:szCs w:val="20"/>
        </w:rPr>
        <w:t xml:space="preserve"> w ramach konkursu nr RPMA.</w:t>
      </w:r>
      <w:r w:rsidR="00BC1C59">
        <w:rPr>
          <w:rFonts w:ascii="Arial" w:hAnsi="Arial" w:cs="Arial"/>
          <w:color w:val="auto"/>
          <w:sz w:val="20"/>
          <w:szCs w:val="20"/>
        </w:rPr>
        <w:t>10.03.01</w:t>
      </w:r>
      <w:r w:rsidRPr="00B37BD2">
        <w:rPr>
          <w:rFonts w:ascii="Arial" w:hAnsi="Arial" w:cs="Arial"/>
          <w:color w:val="auto"/>
          <w:sz w:val="20"/>
          <w:szCs w:val="20"/>
        </w:rPr>
        <w:t>-IP.01-14-0</w:t>
      </w:r>
      <w:r w:rsidR="00BC1C59">
        <w:rPr>
          <w:rFonts w:ascii="Arial" w:hAnsi="Arial" w:cs="Arial"/>
          <w:color w:val="auto"/>
          <w:sz w:val="20"/>
          <w:szCs w:val="20"/>
        </w:rPr>
        <w:t>73</w:t>
      </w:r>
      <w:r w:rsidR="00D60EFC">
        <w:rPr>
          <w:rFonts w:ascii="Arial" w:hAnsi="Arial" w:cs="Arial"/>
          <w:color w:val="auto"/>
          <w:sz w:val="20"/>
          <w:szCs w:val="20"/>
        </w:rPr>
        <w:t>/18</w:t>
      </w:r>
      <w:r w:rsidRPr="00B37BD2">
        <w:rPr>
          <w:rFonts w:ascii="Arial" w:hAnsi="Arial" w:cs="Arial"/>
          <w:color w:val="auto"/>
          <w:sz w:val="20"/>
          <w:szCs w:val="20"/>
        </w:rPr>
        <w:t xml:space="preserve"> w ramach</w:t>
      </w:r>
      <w:r w:rsidRPr="00E862A0">
        <w:rPr>
          <w:rFonts w:ascii="Arial" w:hAnsi="Arial" w:cs="Arial"/>
          <w:color w:val="auto"/>
          <w:sz w:val="20"/>
          <w:szCs w:val="20"/>
        </w:rPr>
        <w:t xml:space="preserve"> Osi Priorytetowej </w:t>
      </w:r>
      <w:r w:rsidRPr="00184987">
        <w:rPr>
          <w:rFonts w:ascii="Arial" w:eastAsia="Times New Roman" w:hAnsi="Arial" w:cs="Arial"/>
          <w:color w:val="000000"/>
          <w:kern w:val="32"/>
          <w:sz w:val="20"/>
          <w:szCs w:val="20"/>
          <w:lang w:eastAsia="pl-PL"/>
        </w:rPr>
        <w:t xml:space="preserve">X </w:t>
      </w:r>
      <w:r w:rsidR="00BC1C59">
        <w:rPr>
          <w:rFonts w:ascii="Arial" w:eastAsia="Times New Roman" w:hAnsi="Arial" w:cs="Arial"/>
          <w:color w:val="000000"/>
          <w:kern w:val="32"/>
          <w:sz w:val="20"/>
          <w:szCs w:val="20"/>
          <w:lang w:eastAsia="pl-PL"/>
        </w:rPr>
        <w:t>Edukacja dla rozwoju regionu, Działania 10.3 Doskonalenie zawodowe,</w:t>
      </w:r>
      <w:r w:rsidRPr="00184987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 Poddziałania </w:t>
      </w:r>
      <w:r w:rsidR="00BC1C59">
        <w:rPr>
          <w:rFonts w:ascii="Arial" w:eastAsia="Times New Roman" w:hAnsi="Arial" w:cs="Arial"/>
          <w:color w:val="auto"/>
          <w:sz w:val="20"/>
          <w:szCs w:val="20"/>
          <w:lang w:eastAsia="pl-PL"/>
        </w:rPr>
        <w:t>10.3.1 Doskonalenie zawodowe uczniów</w:t>
      </w:r>
      <w:r w:rsidRPr="00184987">
        <w:rPr>
          <w:rFonts w:ascii="Arial" w:eastAsia="Times New Roman" w:hAnsi="Arial" w:cs="Arial"/>
          <w:color w:val="000000"/>
          <w:kern w:val="32"/>
          <w:sz w:val="20"/>
          <w:szCs w:val="20"/>
          <w:lang w:eastAsia="pl-PL"/>
        </w:rPr>
        <w:t>.</w:t>
      </w:r>
    </w:p>
    <w:p w:rsidR="008C602F" w:rsidRPr="008460B8" w:rsidRDefault="008C602F" w:rsidP="008460B8">
      <w:pPr>
        <w:jc w:val="both"/>
        <w:rPr>
          <w:rFonts w:ascii="Arial" w:hAnsi="Arial" w:cs="Arial"/>
          <w:sz w:val="20"/>
          <w:szCs w:val="20"/>
        </w:rPr>
      </w:pPr>
      <w:r w:rsidRPr="008460B8">
        <w:rPr>
          <w:rFonts w:ascii="Arial" w:hAnsi="Arial" w:cs="Arial"/>
          <w:sz w:val="20"/>
          <w:szCs w:val="20"/>
        </w:rPr>
        <w:t xml:space="preserve">Ocena merytoryczna wniosku obejmuje sprawdzenie, czy wniosek spełnia:  </w:t>
      </w:r>
    </w:p>
    <w:p w:rsidR="000E0F51" w:rsidRPr="006E421B" w:rsidRDefault="000E0F51" w:rsidP="006E421B">
      <w:pPr>
        <w:pStyle w:val="Nagwek2"/>
        <w:rPr>
          <w:rFonts w:ascii="Arial" w:eastAsia="Times New Roman" w:hAnsi="Arial" w:cs="Arial"/>
          <w:color w:val="auto"/>
          <w:sz w:val="20"/>
          <w:szCs w:val="20"/>
          <w:lang w:eastAsia="pl-PL"/>
        </w:rPr>
      </w:pPr>
      <w:r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a) </w:t>
      </w:r>
      <w:r w:rsidR="008C602F"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następujące </w:t>
      </w:r>
      <w:r w:rsidRPr="006E421B">
        <w:rPr>
          <w:rFonts w:ascii="Arial" w:eastAsia="Times New Roman" w:hAnsi="Arial" w:cs="Arial"/>
          <w:color w:val="auto"/>
          <w:sz w:val="20"/>
          <w:szCs w:val="20"/>
          <w:lang w:eastAsia="pl-PL"/>
        </w:rPr>
        <w:t xml:space="preserve">kryteria merytoryczne ogólne (część A Karty oceny merytorycznej): </w:t>
      </w:r>
    </w:p>
    <w:p w:rsidR="000E0F51" w:rsidRPr="008460B8" w:rsidRDefault="000E0F51" w:rsidP="000E0F51">
      <w:pPr>
        <w:spacing w:before="120" w:after="120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tbl>
      <w:tblPr>
        <w:tblStyle w:val="Tabela-Siatka1"/>
        <w:tblW w:w="14460" w:type="dxa"/>
        <w:tblInd w:w="-318" w:type="dxa"/>
        <w:tblLook w:val="04A0" w:firstRow="1" w:lastRow="0" w:firstColumn="1" w:lastColumn="0" w:noHBand="0" w:noVBand="1"/>
      </w:tblPr>
      <w:tblGrid>
        <w:gridCol w:w="710"/>
        <w:gridCol w:w="2835"/>
        <w:gridCol w:w="6804"/>
        <w:gridCol w:w="4111"/>
      </w:tblGrid>
      <w:tr w:rsidR="000E0F51" w:rsidRPr="000E0F51" w:rsidTr="00B40AE2">
        <w:trPr>
          <w:trHeight w:val="609"/>
        </w:trPr>
        <w:tc>
          <w:tcPr>
            <w:tcW w:w="710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2835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Nazwa kryterium</w:t>
            </w:r>
          </w:p>
        </w:tc>
        <w:tc>
          <w:tcPr>
            <w:tcW w:w="6804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Definicja kryterium</w:t>
            </w: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:rsidR="000E0F51" w:rsidRPr="00BB100A" w:rsidRDefault="000E0F51" w:rsidP="000E0F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>Opis znaczenia</w:t>
            </w:r>
          </w:p>
          <w:p w:rsidR="000E0F51" w:rsidRPr="00BB100A" w:rsidRDefault="000E0F51" w:rsidP="000E0F5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Kryterium (w przypadku projektów konkursowych maksymalna liczba punktów od każdego </w:t>
            </w: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 xml:space="preserve">z obydwu oceniających możliwa do przyznania za spełnienie kryterium /minimalna liczba punktów od każdego </w:t>
            </w:r>
            <w:r w:rsidRPr="00BB100A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z obydwu oceniających umożliwiająca spełnienie kryterium)</w:t>
            </w: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6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Zgodność projektu z celami RPO WM 2014-2020 oraz z diagnozą zawartą w RPO WM 2014-2020.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i rzetelność identyfikacji problemów obszaru, na którym będzie realizowany projekt;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wskazania celu głównego i celów szczegółowych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sposobu, w jaki projekt przyczyni się do realizacji celu szczegółowego RPO WM 2014-2020;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9"/>
              </w:numPr>
              <w:spacing w:after="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zgodność przedstawionego celu głównego z koncepcją SMART.</w:t>
            </w:r>
          </w:p>
          <w:p w:rsidR="00C40C34" w:rsidRPr="003A55DC" w:rsidRDefault="00C40C34" w:rsidP="00BC1C59">
            <w:pPr>
              <w:pStyle w:val="Akapitzlist"/>
              <w:spacing w:after="200" w:line="276" w:lineRule="auto"/>
              <w:ind w:left="36" w:hanging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10/6</w:t>
            </w:r>
          </w:p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albo</w:t>
            </w:r>
          </w:p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5/3</w:t>
            </w:r>
            <w:r w:rsidRPr="003A55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:rsidR="00C40C34" w:rsidRPr="003A55DC" w:rsidRDefault="00C40C34" w:rsidP="00AE0685">
            <w:pPr>
              <w:spacing w:before="120" w:after="120"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835" w:type="dxa"/>
            <w:vAlign w:val="center"/>
          </w:tcPr>
          <w:p w:rsidR="00C40C34" w:rsidRPr="003A55DC" w:rsidRDefault="00213CB1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Adekwatność doboru i opisu rezultatów realizacji projektu.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trafność wyboru i opisu wskaźników, które będzie realizował projekt, tj.: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doboru wskaźników do celu szczegółowego oraz do grupy docelowej, do charakteru projektu (uwzględnienie we wskaźnikach zakresu rzeczowego i charakteru projektu oraz czy mierzą cele projektu);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realność osiągnięcia wskaźników w kontekście wartości projektu, potencjału finansowego, technicznego i kadrowego Wnioskodawcy,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>okresu realizacji projektu, ewentualnie innych, istotnych czynników wpływających na realizacje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3A55DC">
              <w:rPr>
                <w:rFonts w:ascii="Arial" w:eastAsia="Times New Roman" w:hAnsi="Arial" w:cs="Arial"/>
                <w:sz w:val="20"/>
                <w:szCs w:val="20"/>
              </w:rPr>
              <w:t>sposób i częstotliwość pomiaru wskaźników oraz źródła ich pomiaru;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Times New Roman" w:hAnsi="Arial" w:cs="Arial"/>
                <w:sz w:val="20"/>
                <w:szCs w:val="20"/>
              </w:rPr>
            </w:pPr>
            <w:r w:rsidRPr="003A55DC">
              <w:rPr>
                <w:rFonts w:ascii="Arial" w:eastAsia="Times New Roman" w:hAnsi="Arial" w:cs="Arial"/>
                <w:sz w:val="20"/>
                <w:szCs w:val="20"/>
              </w:rPr>
              <w:t>czy projekt realizuje wskaźniki z ram wykonania.</w:t>
            </w:r>
          </w:p>
          <w:p w:rsidR="00C40C34" w:rsidRPr="003A55DC" w:rsidRDefault="00C40C34" w:rsidP="00BC1C59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15/9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line="276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doboru grupy docelowej objętej wsparciem w projekcie.</w:t>
            </w:r>
          </w:p>
          <w:p w:rsidR="00C40C34" w:rsidRPr="003A55DC" w:rsidRDefault="00C40C34" w:rsidP="00BC1C59">
            <w:pPr>
              <w:spacing w:before="60" w:after="60" w:line="240" w:lineRule="exact"/>
              <w:ind w:left="348" w:hanging="348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uzasadnienie wyboru grupy docelowej, jej potrzeb i oczekiwań; 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wielkość i struktura grupy docelowej (w tym udział osób z niepełno sprawnościami, udział osób doświadczających wykluczenia z więcej niż jednego powodu);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barier, na które napotykają uczestnicy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1"/>
              </w:numPr>
              <w:spacing w:after="0" w:line="240" w:lineRule="auto"/>
              <w:ind w:left="319" w:hanging="319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przeprowadzania naboru do udziału w projekcie (kryteria rekrutacji, działania motywujące do udziału w projekcie).</w:t>
            </w:r>
          </w:p>
          <w:p w:rsidR="00C40C34" w:rsidRPr="003A55DC" w:rsidRDefault="00C40C34" w:rsidP="00BC1C59">
            <w:pPr>
              <w:pStyle w:val="Akapitzlist"/>
              <w:spacing w:after="0" w:line="240" w:lineRule="auto"/>
              <w:ind w:left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160A85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10/6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opisanej analizy ryzyka nieosiągnięcia założeń projektu.</w:t>
            </w:r>
            <w:r w:rsidRPr="003A55DC">
              <w:rPr>
                <w:rFonts w:ascii="Arial" w:eastAsia="Calibri" w:hAnsi="Arial" w:cs="Arial"/>
                <w:sz w:val="20"/>
                <w:szCs w:val="20"/>
                <w:vertAlign w:val="superscript"/>
              </w:rPr>
              <w:footnoteReference w:id="2"/>
            </w:r>
          </w:p>
          <w:p w:rsidR="00C40C34" w:rsidRPr="003A55DC" w:rsidRDefault="00C40C34" w:rsidP="00BC1C59">
            <w:pPr>
              <w:spacing w:before="60" w:after="60" w:line="240" w:lineRule="exact"/>
              <w:ind w:left="7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opisu sytuacji, których wystąpienie utrudni lub uniemożliwi osiągnięcie wartości docelowej wskaźników rezultatu;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sposobu identyfikacji wystąpienia takich sytuacji (zajścia ryzyka);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2"/>
              </w:numPr>
              <w:spacing w:after="0" w:line="240" w:lineRule="exact"/>
              <w:ind w:left="178" w:hanging="178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wyboru działań, które zostaną podjęte, aby zapobiec wystąpieniu ryzyka i jakie będą mogły zostać podjęte, aby zminimalizować skutki wystąpienia ryzyka.</w:t>
            </w:r>
          </w:p>
          <w:p w:rsidR="00C40C34" w:rsidRPr="003A55DC" w:rsidRDefault="00C40C34" w:rsidP="00BC1C59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6E421B" w:rsidRDefault="006E421B" w:rsidP="006E42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E421B">
              <w:rPr>
                <w:rFonts w:ascii="Arial" w:hAnsi="Arial" w:cs="Arial"/>
                <w:sz w:val="20"/>
                <w:szCs w:val="20"/>
              </w:rPr>
              <w:t>5/3</w:t>
            </w: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Spójność zadań przewidzianych do realizacji w ramach projektu oraz trafność doboru i opisu zadań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spacing w:before="120" w:after="24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uzasadnienia potrzeby realizacji zadań;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planowanego sposobu realizacji zadań, w tym racjonalność harmonogramu działań (podział zadań na etapy, logiczność i chronologia działań;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opis sposobu realizacji zasady równości szans i niedyskryminacji, w tym dostępności dla osób z niepełnosprawnościami;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trafność określenia wartości wskaźników realizacji właściwego celu szczegółowego RPO WM 2014-2020 lub innych wskaźników określonych we wniosku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o dofinansowanie, które zostaną osiągnięte w ramach zadań;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 xml:space="preserve">opis sposobu, w jaki zostanie zachowana trwałość rezultatów projektu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(o ile dotyczy);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spacing w:before="60" w:after="6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opis uzasadnienia wyboru partnerów do realizacji poszczególnych zadań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(o ile dotyczy);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trafność doboru wskaźników dla rozliczenia kwot ryczałtowych i dokumentów potwierdzających ich wykonanie (o ile dotyczy).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20/12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Potencjał finansowy, kadrowy i techniczny Wnioskodawcy oraz partnerów projektu (o ile dotyczy).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12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zasoby finansowe, jakie wniesie do projektu Wnioskodawca i partnerzy (o ile dotyczy);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60" w:after="6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potencjał kadrowy Wnioskodawcy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i partnerów (o ile dotyczy) i sposób jego wykorzystania w ramach projektu (kluczowe osoby, które zostaną zaangażowane do realizacji projektu oraz ich planowanej funkcji w projekcie);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4"/>
              </w:numPr>
              <w:spacing w:before="60" w:after="60" w:line="240" w:lineRule="exact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potencjał techniczny, w tym sprzętowy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 xml:space="preserve">i warunki lokalowe Wnioskodawcy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i partnerów (o ile dotyczy) i sposób jego wykorzystania w ramach projektu.</w:t>
            </w:r>
          </w:p>
          <w:p w:rsidR="00C40C34" w:rsidRPr="003A55DC" w:rsidRDefault="00C40C34" w:rsidP="00BC1C59">
            <w:pPr>
              <w:spacing w:before="6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10/6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Doświadczenie Wnioskodawcy i partnerów (o ile dotyczy).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Adekwatność doświadczenia będzie oceniane w kontekście dotychczasowej działalności i możliwości weryfikacji rezultatów tej działalności, która była lub jest prowadzona: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w obszarze, w którym udzielane będzie wsparcie przewidziane w ramach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na rzecz grupy docelowej, do której kierowane będzie wsparcie przewidziane w ramach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na określonym terytorium, którego dotyczyć będzie realizacja projektu.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adekwatność opisu instytucji, które mogą potwierdzić potencjał społeczny Wnioskodawcy i partnerów (o ile dotyczy).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15/9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spacing w:before="12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zarządzania projektem.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Oceniana będzie adekwatność sposobu zarządzania projektem do zakresu zadań w projekcie, tj.: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liczebność personelu, w tym w szczególności personelu kluczowego;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lastRenderedPageBreak/>
              <w:t>czytelność struktury zarządzania, podział obowiązków i odpowiedzialności;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sposób podejmowania decyzji i sposób komunikacji;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udział partnerów w zarządzaniu projektem (w przypadku projektów partnerskich);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6"/>
              </w:numPr>
              <w:spacing w:before="120" w:line="240" w:lineRule="auto"/>
              <w:ind w:left="319" w:hanging="283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monitorowanie realizacji projektu.</w:t>
            </w:r>
          </w:p>
          <w:p w:rsidR="00C40C34" w:rsidRPr="003A55DC" w:rsidRDefault="00C40C34" w:rsidP="00BC1C59">
            <w:pPr>
              <w:spacing w:before="120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5/3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40C34" w:rsidRPr="000E0F51" w:rsidTr="006E421B">
        <w:tc>
          <w:tcPr>
            <w:tcW w:w="710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lastRenderedPageBreak/>
              <w:t>9.</w:t>
            </w:r>
          </w:p>
        </w:tc>
        <w:tc>
          <w:tcPr>
            <w:tcW w:w="2835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spacing w:before="120" w:after="60" w:line="240" w:lineRule="exact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Efektywność kosztowa projektu i prawidłowość sporządzenia budżetu.</w:t>
            </w:r>
          </w:p>
        </w:tc>
        <w:tc>
          <w:tcPr>
            <w:tcW w:w="6804" w:type="dxa"/>
            <w:vAlign w:val="center"/>
          </w:tcPr>
          <w:p w:rsidR="00C40C34" w:rsidRPr="003A55DC" w:rsidRDefault="00C40C34" w:rsidP="00BC1C59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Oceniane będą: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niezbędność zaplanowanych wydatków w kontekście zaplanowanych zadań i celu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 xml:space="preserve">zgodność ze standardem i cenami rynkowymi określonymi w Regulaminie konkursu lub określonymi w Wezwaniu do złożenia wniosku </w:t>
            </w:r>
            <w:r w:rsidRPr="003A55DC">
              <w:rPr>
                <w:rFonts w:ascii="Arial" w:eastAsia="Calibri" w:hAnsi="Arial" w:cs="Arial"/>
                <w:sz w:val="20"/>
                <w:szCs w:val="20"/>
              </w:rPr>
              <w:br/>
              <w:t>o dofinansowanie projektu pozakonkursowego;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kwalifikowalność wydatków;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racjonalność i efektywność wydatków projektu;</w:t>
            </w:r>
          </w:p>
          <w:p w:rsidR="00C40C34" w:rsidRPr="003A55DC" w:rsidRDefault="00C40C34" w:rsidP="00C40C34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 w:line="240" w:lineRule="auto"/>
              <w:ind w:left="461" w:hanging="425"/>
              <w:rPr>
                <w:rFonts w:ascii="Arial" w:eastAsia="Calibri" w:hAnsi="Arial" w:cs="Arial"/>
                <w:sz w:val="20"/>
                <w:szCs w:val="20"/>
              </w:rPr>
            </w:pPr>
            <w:r w:rsidRPr="003A55DC">
              <w:rPr>
                <w:rFonts w:ascii="Arial" w:eastAsia="Calibri" w:hAnsi="Arial" w:cs="Arial"/>
                <w:sz w:val="20"/>
                <w:szCs w:val="20"/>
              </w:rPr>
              <w:t>poprawność uzasadnienia wydatków w ramach kwot ryczałtowych (o ile dotyczy).</w:t>
            </w:r>
          </w:p>
          <w:p w:rsidR="00C40C34" w:rsidRPr="003A55DC" w:rsidRDefault="00C40C34" w:rsidP="00BC1C59">
            <w:pPr>
              <w:autoSpaceDE w:val="0"/>
              <w:autoSpaceDN w:val="0"/>
              <w:adjustRightInd w:val="0"/>
              <w:ind w:left="36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5DC">
              <w:rPr>
                <w:rFonts w:ascii="Arial" w:hAnsi="Arial" w:cs="Arial"/>
                <w:sz w:val="20"/>
                <w:szCs w:val="20"/>
              </w:rPr>
              <w:t>15/9</w:t>
            </w: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C40C34" w:rsidRPr="003A55DC" w:rsidRDefault="00C40C34" w:rsidP="000E0F5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E421B" w:rsidRDefault="006E421B" w:rsidP="00A65732">
      <w:pPr>
        <w:rPr>
          <w:rFonts w:ascii="Arial" w:hAnsi="Arial" w:cs="Arial"/>
        </w:rPr>
      </w:pPr>
    </w:p>
    <w:p w:rsidR="00AC4384" w:rsidRDefault="00B40AE2" w:rsidP="00AC4384">
      <w:pPr>
        <w:pStyle w:val="Nagwek2"/>
        <w:spacing w:before="0" w:after="120"/>
        <w:rPr>
          <w:rFonts w:ascii="Arial" w:hAnsi="Arial" w:cs="Arial"/>
          <w:color w:val="auto"/>
          <w:sz w:val="20"/>
          <w:szCs w:val="20"/>
          <w:lang w:eastAsia="pl-PL"/>
        </w:rPr>
      </w:pPr>
      <w:r>
        <w:rPr>
          <w:rFonts w:ascii="Arial" w:hAnsi="Arial" w:cs="Arial"/>
          <w:color w:val="auto"/>
          <w:sz w:val="20"/>
          <w:szCs w:val="20"/>
          <w:lang w:eastAsia="pl-PL"/>
        </w:rPr>
        <w:t xml:space="preserve">b) </w:t>
      </w:r>
      <w:r w:rsidR="00AC4384" w:rsidRPr="003828BF">
        <w:rPr>
          <w:rFonts w:ascii="Arial" w:hAnsi="Arial" w:cs="Arial"/>
          <w:color w:val="auto"/>
          <w:sz w:val="20"/>
          <w:szCs w:val="20"/>
          <w:lang w:eastAsia="pl-PL"/>
        </w:rPr>
        <w:t>Kryterium podsumowujące ogólne</w:t>
      </w:r>
      <w:r w:rsidR="00AC4384">
        <w:rPr>
          <w:rFonts w:ascii="Arial" w:hAnsi="Arial" w:cs="Arial"/>
          <w:color w:val="auto"/>
          <w:sz w:val="20"/>
          <w:szCs w:val="20"/>
          <w:lang w:eastAsia="pl-PL"/>
        </w:rPr>
        <w:t xml:space="preserve">: </w:t>
      </w:r>
    </w:p>
    <w:tbl>
      <w:tblPr>
        <w:tblW w:w="500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2833"/>
        <w:gridCol w:w="6806"/>
        <w:gridCol w:w="3871"/>
      </w:tblGrid>
      <w:tr w:rsidR="00AC4384" w:rsidRPr="003828BF" w:rsidTr="00B40AE2">
        <w:trPr>
          <w:trHeight w:val="1332"/>
        </w:trPr>
        <w:tc>
          <w:tcPr>
            <w:tcW w:w="250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996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Nazwa kryterium</w:t>
            </w:r>
          </w:p>
        </w:tc>
        <w:tc>
          <w:tcPr>
            <w:tcW w:w="2393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>Opis kryterium</w:t>
            </w:r>
          </w:p>
        </w:tc>
        <w:tc>
          <w:tcPr>
            <w:tcW w:w="1361" w:type="pct"/>
            <w:vMerge w:val="restart"/>
            <w:shd w:val="clear" w:color="auto" w:fill="BFBFBF" w:themeFill="background1" w:themeFillShade="BF"/>
            <w:vAlign w:val="center"/>
          </w:tcPr>
          <w:p w:rsidR="00AC4384" w:rsidRPr="00276FF4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t xml:space="preserve">Opis znaczenia kryterium </w:t>
            </w:r>
            <w:r w:rsidRPr="00276FF4">
              <w:rPr>
                <w:rFonts w:ascii="Arial" w:eastAsia="Calibri" w:hAnsi="Arial" w:cs="Arial"/>
                <w:b/>
                <w:sz w:val="20"/>
                <w:szCs w:val="20"/>
              </w:rPr>
              <w:br/>
            </w:r>
          </w:p>
        </w:tc>
      </w:tr>
      <w:tr w:rsidR="00AC4384" w:rsidRPr="003828BF" w:rsidTr="00B40AE2">
        <w:trPr>
          <w:trHeight w:val="545"/>
        </w:trPr>
        <w:tc>
          <w:tcPr>
            <w:tcW w:w="250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996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2393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  <w:tc>
          <w:tcPr>
            <w:tcW w:w="1361" w:type="pct"/>
            <w:vMerge/>
            <w:shd w:val="clear" w:color="auto" w:fill="BFBFBF" w:themeFill="background1" w:themeFillShade="BF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b/>
                <w:sz w:val="20"/>
                <w:szCs w:val="20"/>
              </w:rPr>
            </w:pPr>
          </w:p>
        </w:tc>
      </w:tr>
      <w:tr w:rsidR="00AC4384" w:rsidRPr="003828BF" w:rsidTr="00BC1C59">
        <w:tc>
          <w:tcPr>
            <w:tcW w:w="250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1.</w:t>
            </w:r>
          </w:p>
        </w:tc>
        <w:tc>
          <w:tcPr>
            <w:tcW w:w="996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  <w:lang w:eastAsia="pl-PL"/>
              </w:rPr>
              <w:t xml:space="preserve">Negocjacje zakończyły się wynikiem pozytywnym. </w:t>
            </w:r>
          </w:p>
        </w:tc>
        <w:tc>
          <w:tcPr>
            <w:tcW w:w="2393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Kryterium będzie uznane za spełnione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w przypadku, gdy: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zostały spełnione warunki określone przez oceniających lub przewodniczącego KOP podczas negocjacji; 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-</w:t>
            </w:r>
            <w:r w:rsidRPr="003828B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zostały udzielone informacje 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i wyjaśnienia wymagane podczas negocjacji i IOK zaakceptowała stanowisko wnioskodawcy;  </w:t>
            </w:r>
          </w:p>
          <w:p w:rsidR="00AC4384" w:rsidRPr="003828BF" w:rsidRDefault="00AC4384" w:rsidP="001C7202">
            <w:pPr>
              <w:spacing w:line="360" w:lineRule="auto"/>
              <w:ind w:left="36" w:hanging="36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-do projektu nie wprowadzono innych nieuzgodnionych w ramach negocjacji zmian.  </w:t>
            </w:r>
          </w:p>
        </w:tc>
        <w:tc>
          <w:tcPr>
            <w:tcW w:w="1361" w:type="pct"/>
            <w:shd w:val="clear" w:color="auto" w:fill="auto"/>
            <w:vAlign w:val="center"/>
          </w:tcPr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>Kryterium dotyczy wyłącznie projektów konkursowych kierowanych do negocjacji.  Spełnienie kryterium jest konieczne do przyznania dofinansowania.</w:t>
            </w:r>
          </w:p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Niespełnienie któregokolwiek z trzech warunków wymienionych w opisie kryterium skutkuje negatywną oceną całego kryterium.  </w:t>
            </w:r>
          </w:p>
          <w:p w:rsidR="00AC4384" w:rsidRPr="003828BF" w:rsidRDefault="00AC4384" w:rsidP="001C7202">
            <w:pPr>
              <w:spacing w:line="36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3828BF">
              <w:rPr>
                <w:rFonts w:ascii="Arial" w:eastAsia="Calibri" w:hAnsi="Arial" w:cs="Arial"/>
                <w:sz w:val="20"/>
                <w:szCs w:val="20"/>
              </w:rPr>
              <w:t xml:space="preserve">Projekty niespełniające kryterium są odrzucane na etapie oceny merytorycznej. </w:t>
            </w:r>
          </w:p>
        </w:tc>
      </w:tr>
    </w:tbl>
    <w:p w:rsidR="00AC4384" w:rsidRDefault="00AC4384" w:rsidP="00A65732">
      <w:pPr>
        <w:rPr>
          <w:rFonts w:ascii="Arial" w:hAnsi="Arial" w:cs="Arial"/>
        </w:rPr>
      </w:pPr>
    </w:p>
    <w:p w:rsidR="005845DD" w:rsidRDefault="00B40AE2" w:rsidP="006E421B">
      <w:pPr>
        <w:pStyle w:val="Nagwek2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c</w:t>
      </w:r>
      <w:r w:rsidR="005845DD" w:rsidRPr="006E421B">
        <w:rPr>
          <w:rFonts w:ascii="Arial" w:hAnsi="Arial" w:cs="Arial"/>
          <w:color w:val="auto"/>
          <w:sz w:val="20"/>
          <w:szCs w:val="20"/>
        </w:rPr>
        <w:t>) następujące kryteria merytoryczne szczegółowe (część B Karty oceny merytorycznej):</w:t>
      </w:r>
    </w:p>
    <w:p w:rsidR="00B40AE2" w:rsidRDefault="00B40AE2" w:rsidP="00B40AE2"/>
    <w:tbl>
      <w:tblPr>
        <w:tblW w:w="14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8"/>
        <w:gridCol w:w="3232"/>
        <w:gridCol w:w="5245"/>
        <w:gridCol w:w="3714"/>
        <w:gridCol w:w="1417"/>
      </w:tblGrid>
      <w:tr w:rsidR="00B40AE2" w:rsidRPr="00B40AE2" w:rsidTr="00B40AE2">
        <w:trPr>
          <w:trHeight w:val="995"/>
          <w:tblHeader/>
        </w:trPr>
        <w:tc>
          <w:tcPr>
            <w:tcW w:w="534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Lp.</w:t>
            </w:r>
          </w:p>
        </w:tc>
        <w:tc>
          <w:tcPr>
            <w:tcW w:w="3260" w:type="dxa"/>
            <w:gridSpan w:val="2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Kryterium</w:t>
            </w:r>
          </w:p>
        </w:tc>
        <w:tc>
          <w:tcPr>
            <w:tcW w:w="5245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 xml:space="preserve">Opis kryterium </w:t>
            </w:r>
          </w:p>
        </w:tc>
        <w:tc>
          <w:tcPr>
            <w:tcW w:w="3714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napToGrid w:val="0"/>
              <w:spacing w:before="80" w:after="80" w:line="312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Punktacja</w:t>
            </w:r>
          </w:p>
        </w:tc>
        <w:tc>
          <w:tcPr>
            <w:tcW w:w="1417" w:type="dxa"/>
            <w:shd w:val="clear" w:color="auto" w:fill="BFBFBF" w:themeFill="background1" w:themeFillShade="BF"/>
            <w:vAlign w:val="center"/>
          </w:tcPr>
          <w:p w:rsidR="00B40AE2" w:rsidRPr="00B40AE2" w:rsidRDefault="00B40AE2" w:rsidP="00B40AE2">
            <w:pPr>
              <w:spacing w:before="80" w:after="80" w:line="312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B40AE2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</w:rPr>
              <w:t>Maksymalna liczba punktów</w:t>
            </w:r>
          </w:p>
        </w:tc>
      </w:tr>
      <w:tr w:rsidR="00BC1C59" w:rsidRPr="00B40AE2" w:rsidTr="00BC1C59">
        <w:trPr>
          <w:trHeight w:val="2267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przewiduje realizację działań planowanych w projekcie w partnerstwie z instytucjami otoczenia społeczno-gospodarczego szkół.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12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zamieszcza we wniosku o dofinansowanie dane każdej instytucji z otoczenia społeczno-gospodarczego</w:t>
            </w:r>
            <w:r w:rsidRPr="001C7202">
              <w:rPr>
                <w:rStyle w:val="Odwoanieprzypisudolnego"/>
                <w:rFonts w:ascii="Arial" w:eastAsia="Times New Roman" w:hAnsi="Arial" w:cs="Arial"/>
                <w:sz w:val="20"/>
                <w:szCs w:val="20"/>
                <w:lang w:eastAsia="pl-PL"/>
              </w:rPr>
              <w:footnoteReference w:id="3"/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szkoły, z którą projekt jest realizowany w partnerstwie oraz zasoby ludzkie, organizacyjne, techniczne lub finansowe jakie wnosi ona do projektu.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Wybór przez Wnioskodawcę partnera/partnerów musi nastąpić przed złożeniem wniosku o dofinansowanie. Nie jest to jednak równoznaczne z wymogiem zawarcia porozumienia albo umowy o partnerstwie między Wnioskodawcą a partnerem/partnerami przed złożeniem wniosku o dofinansowanie.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ma na celu podniesienie poziomu jakości świadczonych usług w zakresie kształcenia zawodowego. 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wynika z zapisów Regionalnego Programu Operacyjnego Województwa Mazowieckiego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weryfikowane na podstawie zapisów wniosku o dofinansowanie projektu. 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realizacja projektu w partnerstwie: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pkt - brak partnerstwa lub brak informacji w tym zakresie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 pkt - z 1 partnerem,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pkt - z 2 partnerami 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 pkt - z 3 i więcej partnerami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</w:t>
            </w:r>
          </w:p>
        </w:tc>
      </w:tr>
      <w:tr w:rsidR="00BC1C59" w:rsidRPr="00B40AE2" w:rsidTr="00BC1C59">
        <w:trPr>
          <w:trHeight w:val="992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przewiduje doskonalenie umiejętności, kompetencji lub kwalifikacji zawodowych nauczycieli zawodu i instruktorów praktycznej nauki zawodu na studiach podyplomowych lub kursach kwalifikacyjnych przygotowujących do wykonywania zawodu nauczyciela kształcenia zawodowego w ramach zawodów nowo wprowadzonych do klasyfikacji zawodów szkolnictwa zawodowego, zawodów wprowadzonych w ramach modernizacji oferty kształcenia zawodowego albo nowoutworzonych kierunków nauczania lub zawodów, na które występuje deficyt na regionalnym rynku pracy oraz braki kadrowe nauczycieli.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we wniosku o dofinansowanie wskazuje, czy kształcenie nauczycieli, w tym nauczycieli zawodu i instruktorów praktycznej nauki zawodu dotyczy studiów podyplomowych</w:t>
            </w:r>
            <w:r w:rsidRPr="001C7202">
              <w:rPr>
                <w:rStyle w:val="Odwoanieprzypisudolnego"/>
                <w:rFonts w:ascii="Arial" w:eastAsia="Times New Roman" w:hAnsi="Arial" w:cs="Arial"/>
                <w:sz w:val="20"/>
                <w:szCs w:val="20"/>
                <w:lang w:eastAsia="pl-PL"/>
              </w:rPr>
              <w:footnoteReference w:id="4"/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lub kursów kwalifikacyjnych w ramach:</w:t>
            </w:r>
          </w:p>
          <w:p w:rsidR="00BC1C59" w:rsidRPr="001C7202" w:rsidRDefault="00BC1C59" w:rsidP="001C7202">
            <w:pPr>
              <w:numPr>
                <w:ilvl w:val="0"/>
                <w:numId w:val="45"/>
              </w:num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zawodów nowo wprowadzonych do klasyfikacji zawodów szkolnictwa zawodowego, </w:t>
            </w:r>
          </w:p>
          <w:p w:rsidR="00BC1C59" w:rsidRPr="001C7202" w:rsidRDefault="00BC1C59" w:rsidP="001C7202">
            <w:pPr>
              <w:spacing w:after="0" w:line="36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i/albo</w:t>
            </w:r>
          </w:p>
          <w:p w:rsidR="00BC1C59" w:rsidRPr="001C7202" w:rsidRDefault="00BC1C59" w:rsidP="001C7202">
            <w:pPr>
              <w:numPr>
                <w:ilvl w:val="0"/>
                <w:numId w:val="45"/>
              </w:num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zawodów wprowadzonych w efekcie modernizacji oferty kształcenia zawodowego, </w:t>
            </w:r>
          </w:p>
          <w:p w:rsidR="00BC1C59" w:rsidRPr="001C7202" w:rsidRDefault="00BC1C59" w:rsidP="001C7202">
            <w:pPr>
              <w:spacing w:after="0" w:line="360" w:lineRule="auto"/>
              <w:ind w:left="720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i/albo </w:t>
            </w:r>
          </w:p>
          <w:p w:rsidR="00BC1C59" w:rsidRPr="001C7202" w:rsidRDefault="00BC1C59" w:rsidP="001C7202">
            <w:pPr>
              <w:numPr>
                <w:ilvl w:val="0"/>
                <w:numId w:val="45"/>
              </w:num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tworzenia nowych kierunków nauczania lub zawodów, na które występuje deficyt na regionalnym lub lokalnym rynku pracy oraz braki kadrowe wśród nauczycieli kształcenia zawodowego</w:t>
            </w:r>
            <w:r w:rsidRPr="001C7202">
              <w:rPr>
                <w:rStyle w:val="Odwoanieprzypisudolnego"/>
                <w:rFonts w:ascii="Arial" w:eastAsia="Times New Roman" w:hAnsi="Arial" w:cs="Arial"/>
                <w:sz w:val="20"/>
                <w:szCs w:val="20"/>
                <w:lang w:eastAsia="pl-PL"/>
              </w:rPr>
              <w:footnoteReference w:id="5"/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ma na celu podniesienie jakości kształcenia zawodowego i lepsze dostosowanie go do potrzeb gospodarki rynku pracy.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Kryterium wynika z zapisów RPO WM oraz Wytycznych z w zakresie realizacji przedsięwzięć z udziałem środków Europejskiego Funduszu Społecznego w obszarze edukacji na lata 2014-2020. 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podjęcie w projekcie działań mających na celu doskonalenie umiejętności, kompetencji lub kwalifikacji zawodowych nauczycieli zawodu i instruktorów praktycznej nauki zawodu na studiach podyplomowych lub kursach kwalifikacyjnych w ramach:</w:t>
            </w:r>
          </w:p>
          <w:p w:rsidR="00BC1C59" w:rsidRPr="00CD14DA" w:rsidRDefault="00BC1C59" w:rsidP="00BC1C59">
            <w:pPr>
              <w:numPr>
                <w:ilvl w:val="0"/>
                <w:numId w:val="46"/>
              </w:numPr>
              <w:spacing w:after="0" w:line="240" w:lineRule="auto"/>
              <w:ind w:left="147" w:hanging="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zawodów nowo wprowadzonych do klasyfikacji zawodów szkolnictwa zawodowego,</w:t>
            </w:r>
          </w:p>
          <w:p w:rsidR="00BC1C59" w:rsidRPr="00CD14DA" w:rsidRDefault="00BC1C59" w:rsidP="00BC1C59">
            <w:pPr>
              <w:spacing w:after="0" w:line="240" w:lineRule="auto"/>
              <w:ind w:left="14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albo/i </w:t>
            </w:r>
          </w:p>
          <w:p w:rsidR="00BC1C59" w:rsidRPr="00CD14DA" w:rsidRDefault="00BC1C59" w:rsidP="00BC1C59">
            <w:pPr>
              <w:numPr>
                <w:ilvl w:val="0"/>
                <w:numId w:val="46"/>
              </w:numPr>
              <w:spacing w:after="0" w:line="240" w:lineRule="auto"/>
              <w:ind w:left="147" w:hanging="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zawodów wprowadzonych w efekcie modernizacji oferty kształcenia zawodowego, </w:t>
            </w:r>
          </w:p>
          <w:p w:rsidR="00BC1C59" w:rsidRPr="00CD14DA" w:rsidRDefault="00BC1C59" w:rsidP="00BC1C59">
            <w:pPr>
              <w:spacing w:after="0" w:line="240" w:lineRule="auto"/>
              <w:ind w:left="14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albo/i </w:t>
            </w:r>
          </w:p>
          <w:p w:rsidR="00BC1C59" w:rsidRPr="00CD14DA" w:rsidRDefault="00BC1C59" w:rsidP="00BC1C59">
            <w:pPr>
              <w:numPr>
                <w:ilvl w:val="0"/>
                <w:numId w:val="46"/>
              </w:numPr>
              <w:spacing w:after="0" w:line="240" w:lineRule="auto"/>
              <w:ind w:left="147" w:hanging="142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tworzenia nowych kierunków nauczania lub zawodów, na które występuje deficyt na regionalnym lub lokalnym rynku pracy oraz braki kadrowe wśród nauczycieli kształcenia zawodowego:</w:t>
            </w:r>
          </w:p>
          <w:p w:rsidR="00BC1C59" w:rsidRPr="00CD14DA" w:rsidRDefault="00BC1C59" w:rsidP="00BC1C59">
            <w:pPr>
              <w:spacing w:after="0" w:line="240" w:lineRule="auto"/>
              <w:ind w:left="147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 pkt - brak powyższych działań lub brak informacji w tym zakresie,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3 pkt - podjęcie przynajmniej jednego z powyższych działań,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 pkt - podjęcie przynajmniej dwóch z powyższych działań.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BC1C59" w:rsidRPr="00B40AE2" w:rsidTr="00BC1C59">
        <w:trPr>
          <w:trHeight w:val="708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1C7202">
              <w:rPr>
                <w:rFonts w:ascii="Arial" w:hAnsi="Arial" w:cs="Arial"/>
                <w:color w:val="000000"/>
                <w:sz w:val="20"/>
                <w:szCs w:val="20"/>
              </w:rPr>
              <w:t>Projekt zakłada stworzenie nowych lub doposażenie istniejących międzyszkolnych pracowni umożliwiających praktyczną naukę zawodu.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we wniosku o dofinansowanie wskazuje, czy projekt zakłada stworzenie nowych i/lub doposażenie istniejących międzyszkolnych pracowni umożliwiających praktyczną naukę zawodu.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W przypadku gdy działania realizowane w ramach projektu obejmują inwestycje w infrastrukturę, wnioskodawca wskazuje potrzebę ich realizacji  w diagnozie, o której mowa w kryterium nr 6.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wymienia nazwę szkoły, w której zostanie stworzona/doposażona pracownia oraz nazwę/y szkół, które będą korzystały z pracowni międzyszkolnej.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przyczyni się do lepszego wykorzystania zasobów edukacyjnych na terenie gminy/powiatu, a także do wydatkowania środków publicznych zgodnie z zasadami skuteczności i oszczędności.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wynika z Rekomendacji Komisji Europejskiej dla EFS.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  <w:p w:rsidR="00BC1C59" w:rsidRPr="001C7202" w:rsidRDefault="00BC1C59" w:rsidP="001C7202">
            <w:pPr>
              <w:pStyle w:val="Standard"/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714" w:type="dxa"/>
          </w:tcPr>
          <w:p w:rsidR="00BC1C59" w:rsidRPr="00CD14DA" w:rsidRDefault="00BC1C59" w:rsidP="00BC1C59">
            <w:pPr>
              <w:pStyle w:val="Akapitzlist"/>
              <w:tabs>
                <w:tab w:val="left" w:pos="227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stworzenie  i/lub doposażenie międzyszkolnej/</w:t>
            </w:r>
          </w:p>
          <w:p w:rsidR="00BC1C59" w:rsidRPr="00CD14DA" w:rsidRDefault="00BC1C59" w:rsidP="00BC1C59">
            <w:pPr>
              <w:pStyle w:val="Akapitzlist"/>
              <w:tabs>
                <w:tab w:val="left" w:pos="227"/>
              </w:tabs>
              <w:spacing w:after="0" w:line="240" w:lineRule="auto"/>
              <w:ind w:left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międzyszkolnych pracowni w ramach projektu oraz udostępnienie jej/ich innym szkołom </w:t>
            </w:r>
          </w:p>
          <w:p w:rsidR="00BC1C59" w:rsidRPr="00CD14DA" w:rsidRDefault="00BC1C59" w:rsidP="00BC1C59">
            <w:pPr>
              <w:pStyle w:val="Akapitzlist"/>
              <w:tabs>
                <w:tab w:val="left" w:pos="227"/>
              </w:tabs>
              <w:spacing w:before="120" w:after="0" w:line="240" w:lineRule="auto"/>
              <w:ind w:left="0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 pkt - brak powyższych działań lub brak informacji w tym zakresie.</w:t>
            </w: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pkt - stworzenie i/lub doposażenie międzyszkolnej/międzyszkolnych pracowni i udostępnienie 1 szkole,</w:t>
            </w:r>
          </w:p>
          <w:p w:rsidR="00BC1C59" w:rsidRPr="00CD14DA" w:rsidRDefault="00BC1C59" w:rsidP="00BC1C59">
            <w:pPr>
              <w:spacing w:before="6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4 pkt - stworzenie i/lub doposażenie międzyszkolnej/międzyszkolnych pracowni i udostępnienie 2</w:t>
            </w:r>
            <w:r w:rsidRPr="00CD14DA" w:rsidDel="00560FA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szkołom i więcej.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rPr>
                <w:rFonts w:ascii="Arial" w:hAnsi="Arial" w:cs="Arial"/>
                <w:sz w:val="18"/>
                <w:szCs w:val="18"/>
              </w:rPr>
            </w:pPr>
            <w:r w:rsidRPr="00CD14DA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Projekt zakłada, że realizowane będą działania w zakresie kształcenia w miejscu pracy bądź programy stażowe  umożliwiające nabywanie kompetencji zawodowych w rzeczywistym środowisku pracy.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Wnioskodawca we wniosku o dofinansowanie wykazuje, jakie działania zostaną zrealizowane w projekcie  w zakresie kształcenia w miejscu pracy lub  w ramach programów stażowych umożliwiających nabywanie kompetencji zawodowych w miejscu  pracy. 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ma na celu zwiększenie w przyszłości szans uczniów na rynku pracy. Kryterium wynika z Wytycznych w zakresie realizacji przedsięwzięć z udziałem środków Europejskiego Funduszu Społecznego w obszarze edukacji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  <w:r w:rsidRPr="001C7202" w:rsidDel="003061E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before="120"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0 pkt - działania w ramach projektu realizowane w wyposażonej przyszkolnej pracowni zawodowej/warsztacie, </w:t>
            </w:r>
          </w:p>
          <w:p w:rsidR="00BC1C59" w:rsidRPr="00CD14DA" w:rsidRDefault="00E6087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  <w:r w:rsidR="00BC1C59" w:rsidRPr="00CD14DA">
              <w:rPr>
                <w:rFonts w:ascii="Arial" w:hAnsi="Arial" w:cs="Arial"/>
                <w:sz w:val="18"/>
                <w:szCs w:val="18"/>
                <w:lang w:eastAsia="pl-PL"/>
              </w:rPr>
              <w:t xml:space="preserve"> pkt - działania w ramach projektu realizowane w miejscu pracy.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6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both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Projekt zakłada partycypację finansową pracodawcy na poziomie minimum 5% w kosztach organizacji i prowadzenia stażu i/lub praktyki zawodowej w przedsiębiorstwach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we wniosku o dofinansowanie wskazuje, że każdy pracodawca organizujący i prowadzący w ramach projektu praktyki zawodowe i/lub staże zawodowe dla uczniów w przedsiębiorstwach wnosi wkład finansowy w wymiarze co najmniej 5% kosztów organizacji  i prowadzenia praktyki zawodowej lub stażu zawodowego.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wynika z Wytycznych w zakresie realizacji przedsięwzięć z udziałem środków Europejskiego Funduszu Społecznego w obszarze edukacji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partycypacja finansową pracodawcy na poziomie minimum 5% w kosztach organizacji i prowadzenia stażu i/lub praktyki zawodowej w przedsiębiorstwach: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 pkt - brak partycypacji lub brak informacji w tym zakresie,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pkt  - partycypacja finansową pracodawcy na poziomie minimum 5%.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numPr>
                <w:ilvl w:val="0"/>
                <w:numId w:val="44"/>
              </w:numPr>
              <w:tabs>
                <w:tab w:val="left" w:pos="572"/>
              </w:tabs>
              <w:spacing w:after="0" w:line="240" w:lineRule="auto"/>
              <w:ind w:left="430" w:hanging="283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Działania w zakresie kształtowania i rozwijania u uczniów i słuchaczy szkół lub placówek systemu oświaty prowadzących kształcenie zawodowe kompetencji kluczowych oraz umiejętności uniwersalnych niezbędnych na rynku pracy są realizowane z wykorzystaniem e-podręczników bądź e-zasobów/ e-materiałów dydaktycznych stworzonych dzięki środkom EFS w latach 2007-2013 i 2014-2020.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we wniosku o dofinansowanie wykazuje, że projekt wykorzystuje w ramach kształcenia uczniów lub/i nauczycieli e-podręczniki bądź e-zasoby/ e-materiały dydaktyczne stworzone dzięki środkom EFS w latach 2007-2013 i 2014-2020.</w:t>
            </w: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Wnioskodawca wymienia wspomniane tytuły materiałów edukacyjnych i sposób ich wykorzystania celem weryfikacji zgodności wykorzystywanych materiałów</w:t>
            </w:r>
            <w:r w:rsidRPr="001C720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 zakresem merytorycznym realizowanego wsparcia w projekcie.</w:t>
            </w: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przyczyni się do racjonalnego wykorzystania istniejących zasobów edukacyjnych, a także do wydatkowania środków publicznych zgodnie z zasadami skuteczności i oszczędności.</w:t>
            </w: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:rsidR="00BC1C59" w:rsidRPr="001C7202" w:rsidRDefault="00BC1C59" w:rsidP="001C7202">
            <w:pPr>
              <w:pStyle w:val="Standard"/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Zastosowanie kryterium wynika z Wytycznych w zakresie realizacji przedsięwzięć z udziałem środków Europejskiego Funduszu Społecznego w obszarze edukacji na lata 2014-2020.</w:t>
            </w:r>
          </w:p>
          <w:p w:rsidR="00BC1C59" w:rsidRPr="001C7202" w:rsidRDefault="00BC1C59" w:rsidP="001C7202">
            <w:pPr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pStyle w:val="Standard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0 pkt – nie są wykorzystane e-podręczniki bądź e-zasoby/e-materiały dydaktyczne stworzone dzięki środkom EFS w latach 2007-2013 i 2014-2020 lub brak informacji w tym zakresie,</w:t>
            </w:r>
          </w:p>
          <w:p w:rsidR="00BC1C59" w:rsidRPr="00CD14DA" w:rsidRDefault="00BC1C59" w:rsidP="00BC1C59">
            <w:pPr>
              <w:pStyle w:val="Standard"/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 pkt – są wykorzystane e-podręczniki bądź e-zasoby/e-materiały dydaktyczne stworzone dzięki środkom EFS w latach 2007-2013 i 2014-2020.</w:t>
            </w:r>
          </w:p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2</w:t>
            </w:r>
          </w:p>
        </w:tc>
      </w:tr>
      <w:tr w:rsidR="00BC1C59" w:rsidRPr="00B40AE2" w:rsidTr="00BC1C59">
        <w:trPr>
          <w:trHeight w:val="853"/>
        </w:trPr>
        <w:tc>
          <w:tcPr>
            <w:tcW w:w="534" w:type="dxa"/>
            <w:vAlign w:val="center"/>
          </w:tcPr>
          <w:p w:rsidR="00BC1C59" w:rsidRPr="00CD14DA" w:rsidRDefault="00BC1C59" w:rsidP="00BC1C59">
            <w:pPr>
              <w:tabs>
                <w:tab w:val="left" w:pos="572"/>
              </w:tabs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3260" w:type="dxa"/>
            <w:gridSpan w:val="2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Projekt jest realizowany wyłącznie na rzecz szkół z terenu miast średnich lub miast średnich tracących funkcje społeczno-gospodarcze.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Kryterium zapewnia silniejszą koncentrację wsparcia na obszarach cechujących się największymi potrzebami w zakresie ograniczania zjawiska nierównego startu na danym etapie edukacji.  </w:t>
            </w:r>
          </w:p>
          <w:p w:rsidR="00BC1C59" w:rsidRPr="001C7202" w:rsidRDefault="00BC1C59" w:rsidP="001C7202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wynika z </w:t>
            </w:r>
            <w:r w:rsidRPr="001C7202">
              <w:rPr>
                <w:rFonts w:ascii="Arial" w:hAnsi="Arial" w:cs="Arial"/>
                <w:i/>
                <w:iCs/>
                <w:sz w:val="20"/>
                <w:szCs w:val="20"/>
                <w:lang w:eastAsia="pl-PL"/>
              </w:rPr>
              <w:t>Wytycznych w zakresie realizacji przedsięwzięć z udziałem środków Europejskiego Funduszu Społecznego w obszarze edukacji na lata 2014-2020</w:t>
            </w: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 xml:space="preserve">. </w:t>
            </w:r>
          </w:p>
          <w:p w:rsidR="00BC1C59" w:rsidRPr="001C7202" w:rsidRDefault="00BC1C59" w:rsidP="001C7202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 xml:space="preserve">Kryterium przyczynia się do realizacji założeń Regionalnego Programu Operacyjnego Województwa Mazowieckiego 2014-2020 w zakresie osiągnięcia większej spójności społeczno-gospodarczej województwa . </w:t>
            </w:r>
          </w:p>
          <w:p w:rsidR="00BC1C59" w:rsidRPr="001C7202" w:rsidRDefault="00BC1C59" w:rsidP="001C7202">
            <w:pPr>
              <w:spacing w:before="120" w:line="360" w:lineRule="auto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Lista miast średnich wskazana jest w załączniku nr 1,</w:t>
            </w:r>
            <w:r w:rsidRPr="001C7202">
              <w:rPr>
                <w:rFonts w:ascii="Arial" w:hAnsi="Arial" w:cs="Arial"/>
                <w:sz w:val="20"/>
                <w:szCs w:val="20"/>
              </w:rPr>
              <w:t xml:space="preserve"> a </w:t>
            </w: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lista miast średnich tracących funkcje społeczno-gospodarcze w załączniku nr 2 do ,,Delimitacji miast średnich tracących funkcje społeczno-gospodarcze” opracowanej na potrzeby Strategii na rzecz Odpowiedzialnego Rozwoju (</w:t>
            </w:r>
            <w:r w:rsidRPr="001C7202">
              <w:rPr>
                <w:rFonts w:ascii="Arial" w:hAnsi="Arial" w:cs="Arial"/>
                <w:sz w:val="20"/>
                <w:szCs w:val="20"/>
              </w:rPr>
              <w:t>https://www.funduszeeuropejskie.gov.pl/media/36253/Delimitacja_miast_srednich_SOR_Sleszynski_11.pdf)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  <w:lang w:eastAsia="pl-PL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0 pkt – wsparciem nie są objęte szkoły wyłącznie z terenu miast średnich</w:t>
            </w:r>
            <w:r w:rsidRPr="00CD14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lub miast średnich tracących  funkcje społeczno-gospodarcze, ewentualnie brak informacji w tym zakresie,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2 pkt – wsparciem są objęte szkoły wyłącznie z terenu miast średnich</w:t>
            </w:r>
            <w:r w:rsidRPr="00CD14D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D14DA">
              <w:rPr>
                <w:rFonts w:ascii="Arial" w:hAnsi="Arial" w:cs="Arial"/>
                <w:sz w:val="18"/>
                <w:szCs w:val="18"/>
                <w:lang w:eastAsia="pl-PL"/>
              </w:rPr>
              <w:t>lub miast średnich tracących  funkcje społeczno-gospodarcze.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</w:tr>
      <w:tr w:rsidR="00BC1C59" w:rsidRPr="00B40AE2" w:rsidTr="00BC1C59">
        <w:tc>
          <w:tcPr>
            <w:tcW w:w="562" w:type="dxa"/>
            <w:gridSpan w:val="2"/>
            <w:vAlign w:val="center"/>
          </w:tcPr>
          <w:p w:rsidR="00BC1C59" w:rsidRPr="001C7202" w:rsidRDefault="00BC1C59" w:rsidP="001C7202">
            <w:pPr>
              <w:tabs>
                <w:tab w:val="left" w:pos="572"/>
              </w:tabs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232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jest zgodny z programem rewitalizacji obowiązującym  na obszarze, na którym jest realizowany.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Zastosowanie kryterium przyczynia się do wsparcia procesu rewitalizacji mającego na celu pobudzenie aktywności środowisk lokalnych, stymulowanie współpracy na rzecz rozwoju społeczno-gospodarczego oraz przeciwdziałanie zjawisku wykluczenia społecznego na obszarach degradowanych i zmarginalizowanych.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W celu uzyskania korzystnych efektów działań rewitalizacyjnych niezbędna jest koordynacja i synergia projektów finansowanych w ramach EFS i EFRR.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wynika z zapisów RPO WM oraz Wytycznych w zakresie rewitalizacji w programach operacyjnych na lata 2014-2020.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W ramach kryterium ocenie podlega, czy projekt jest zgodny z obowiązującym (na dzień składania wniosku o dofinansowanie) programem rewitalizacji, przy czym zgodność projektu z programem rewitalizacji oznacza wskazanie go wprost w programie rewitalizacji (lista projektów głównych) lub określenie wśród pozostałych rodzajów przedsięwzięć rewitalizacyjnych (przedsięwzięcia uzupełniające), które realizują kierunki działań programu.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Zgodność z lokalnym programem rewitalizacji będzie weryfikowana poprzez zgodność przedsięwzięcia wskazanego w programie rewitalizacji z zasadami 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i typami operacji przewidzianymi w konkursie oraz realizację wskaźników obligatoryjnych dla konkursu.</w:t>
            </w: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Program rewitalizacji musi znajdować się w Wykazie programów rewitalizacji województwa mazowieckiego, publikowanym na stronie </w:t>
            </w:r>
          </w:p>
          <w:p w:rsidR="00BC1C59" w:rsidRPr="001C7202" w:rsidRDefault="009205EA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hyperlink r:id="rId8" w:history="1">
              <w:r w:rsidR="00BC1C59" w:rsidRPr="001C7202">
                <w:rPr>
                  <w:rStyle w:val="Hipercze"/>
                  <w:rFonts w:ascii="Arial" w:hAnsi="Arial" w:cs="Arial"/>
                  <w:sz w:val="20"/>
                  <w:szCs w:val="20"/>
                </w:rPr>
                <w:t>http://www.funduszedlamazowsza.eu</w:t>
              </w:r>
            </w:hyperlink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</w:p>
          <w:p w:rsidR="00BC1C59" w:rsidRPr="001C7202" w:rsidRDefault="00BC1C59" w:rsidP="001C7202">
            <w:pPr>
              <w:spacing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weryfikowane na podstawie zapisów we wniosku o dofinansowanie projektu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zgodność projektu z programem rewitalizacji: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pkt – nie jest zgodny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lub brak informacji w tym zakresie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pkt  - jest zgodny 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</w:t>
            </w:r>
          </w:p>
        </w:tc>
      </w:tr>
      <w:tr w:rsidR="00BC1C59" w:rsidRPr="00B40AE2" w:rsidTr="00BC1C59">
        <w:tc>
          <w:tcPr>
            <w:tcW w:w="562" w:type="dxa"/>
            <w:gridSpan w:val="2"/>
            <w:vAlign w:val="center"/>
          </w:tcPr>
          <w:p w:rsidR="00BC1C59" w:rsidRPr="001C7202" w:rsidRDefault="00BC1C59" w:rsidP="001C7202">
            <w:pPr>
              <w:tabs>
                <w:tab w:val="left" w:pos="572"/>
              </w:tabs>
              <w:spacing w:after="0" w:line="360" w:lineRule="auto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232" w:type="dxa"/>
          </w:tcPr>
          <w:p w:rsidR="00BC1C59" w:rsidRPr="001C7202" w:rsidRDefault="00BC1C59" w:rsidP="001C7202">
            <w:pPr>
              <w:spacing w:after="0" w:line="36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1C720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Projekt wynika z Planu Inwestycyjnego dla subregionu objętego problemowym  Obszarem Strategicznej Interwencji (OSI problemowymi).</w:t>
            </w:r>
          </w:p>
        </w:tc>
        <w:tc>
          <w:tcPr>
            <w:tcW w:w="5245" w:type="dxa"/>
          </w:tcPr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W ramach kryterium ocenie podlega, czy projekt jest zawarty w Planie inwestycyjnym dla subregionu objętego problemowym Obszarem Strategicznej Interwencji, jako projekt towarzyszący. 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 xml:space="preserve">Wsparcie Obszarów Strategicznej Interwencji w ramach RPO WM 2014-2020 odbywa się poprzez realizację Planów Inwestycyjnych dla 5 subregionów (ciechanowskiego, płockiego, ostrołęckiego, siedleckiego i radomskiego) objętych OSI problemowymi. Plany inwestycyjne dla poszczególnych subregionów są dostępne na stronie www.funduszedlamazowsza.eu, zakładka O programie/ Zapoznaj się z prawem i dokumentami. 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Zastosowanie kryterium przyczyni się do wzmocnienia potencjału Obszarów Strategicznej Interwencji (OSI) oraz zapewni komplementarność wsparcia w ramach EFS  i EFRR.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wynika z zapisów Regionalnego Programu Operacyjnego Województwa Mazowieckiego 2014-2020.</w:t>
            </w:r>
          </w:p>
          <w:p w:rsidR="00BC1C59" w:rsidRPr="001C7202" w:rsidRDefault="00BC1C59" w:rsidP="001C7202">
            <w:pPr>
              <w:autoSpaceDE w:val="0"/>
              <w:autoSpaceDN w:val="0"/>
              <w:spacing w:before="120" w:after="0" w:line="360" w:lineRule="auto"/>
              <w:rPr>
                <w:rFonts w:ascii="Arial" w:hAnsi="Arial" w:cs="Arial"/>
                <w:sz w:val="20"/>
                <w:szCs w:val="20"/>
              </w:rPr>
            </w:pPr>
            <w:r w:rsidRPr="001C7202">
              <w:rPr>
                <w:rFonts w:ascii="Arial" w:hAnsi="Arial" w:cs="Arial"/>
                <w:sz w:val="20"/>
                <w:szCs w:val="20"/>
              </w:rPr>
              <w:t>Kryterium weryfikowane na podstawie zapisów we wniosku o dofinansowanie projektu.</w:t>
            </w:r>
          </w:p>
        </w:tc>
        <w:tc>
          <w:tcPr>
            <w:tcW w:w="3714" w:type="dxa"/>
          </w:tcPr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0 pkt – projekt  nie wynika z Planu Inwestycyjnego dla subregionu objętego problemowym Obszarem Strategicznej Interwencji (OSI problemowymi) lub brak informacji w tym zakresie; </w:t>
            </w:r>
          </w:p>
          <w:p w:rsidR="00BC1C59" w:rsidRPr="00CD14DA" w:rsidRDefault="00BC1C59" w:rsidP="00BC1C59">
            <w:pPr>
              <w:spacing w:before="120" w:after="0" w:line="240" w:lineRule="auto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2 pkt - projekt wynika z Planu Inwestycyjnego dla subregionu objętego problemowym Obszarem Strategicznej Interwencji (OSI problemowymi) </w:t>
            </w:r>
          </w:p>
        </w:tc>
        <w:tc>
          <w:tcPr>
            <w:tcW w:w="1417" w:type="dxa"/>
          </w:tcPr>
          <w:p w:rsidR="00BC1C59" w:rsidRPr="00CD14DA" w:rsidRDefault="00BC1C59" w:rsidP="00BC1C5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highlight w:val="yellow"/>
                <w:lang w:eastAsia="pl-PL"/>
              </w:rPr>
            </w:pPr>
            <w:r w:rsidRPr="00CD14DA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</w:t>
            </w:r>
          </w:p>
        </w:tc>
      </w:tr>
    </w:tbl>
    <w:p w:rsidR="00B40AE2" w:rsidRPr="00B40AE2" w:rsidRDefault="00B40AE2" w:rsidP="001C7202"/>
    <w:sectPr w:rsidR="00B40AE2" w:rsidRPr="00B40AE2" w:rsidSect="007610FF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202" w:rsidRDefault="001C7202" w:rsidP="000E0F51">
      <w:pPr>
        <w:spacing w:after="0" w:line="240" w:lineRule="auto"/>
      </w:pPr>
      <w:r>
        <w:separator/>
      </w:r>
    </w:p>
  </w:endnote>
  <w:endnote w:type="continuationSeparator" w:id="0">
    <w:p w:rsidR="001C7202" w:rsidRDefault="001C7202" w:rsidP="000E0F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202" w:rsidRDefault="001C7202" w:rsidP="000E0F51">
      <w:pPr>
        <w:spacing w:after="0" w:line="240" w:lineRule="auto"/>
      </w:pPr>
      <w:r>
        <w:separator/>
      </w:r>
    </w:p>
  </w:footnote>
  <w:footnote w:type="continuationSeparator" w:id="0">
    <w:p w:rsidR="001C7202" w:rsidRDefault="001C7202" w:rsidP="000E0F51">
      <w:pPr>
        <w:spacing w:after="0" w:line="240" w:lineRule="auto"/>
      </w:pPr>
      <w:r>
        <w:continuationSeparator/>
      </w:r>
    </w:p>
  </w:footnote>
  <w:footnote w:id="1">
    <w:p w:rsidR="001C7202" w:rsidRPr="00927A2B" w:rsidRDefault="001C7202" w:rsidP="00BC1C59">
      <w:pPr>
        <w:pStyle w:val="Tekstprzypisudolnego"/>
        <w:jc w:val="both"/>
        <w:rPr>
          <w:sz w:val="15"/>
          <w:szCs w:val="15"/>
        </w:rPr>
      </w:pPr>
      <w:r w:rsidRPr="00927A2B">
        <w:rPr>
          <w:rStyle w:val="Odwoanieprzypisudolnego"/>
          <w:sz w:val="15"/>
          <w:szCs w:val="15"/>
        </w:rPr>
        <w:footnoteRef/>
      </w:r>
      <w:r w:rsidRPr="00927A2B">
        <w:rPr>
          <w:sz w:val="15"/>
          <w:szCs w:val="15"/>
        </w:rPr>
        <w:t xml:space="preserve"> </w:t>
      </w:r>
      <w:r w:rsidRPr="00927A2B">
        <w:rPr>
          <w:rFonts w:cs="Calibri"/>
          <w:sz w:val="15"/>
          <w:szCs w:val="15"/>
        </w:rPr>
        <w:t>Dotyczy wyłącznie projektów, których wnioskowana kwota dofinansowania jest równa albo przekracza 2 mln zł.</w:t>
      </w:r>
    </w:p>
  </w:footnote>
  <w:footnote w:id="2">
    <w:p w:rsidR="001C7202" w:rsidRPr="00BE1783" w:rsidRDefault="001C7202" w:rsidP="00BC1C59">
      <w:pPr>
        <w:pStyle w:val="Tekstprzypisudolnego"/>
        <w:jc w:val="both"/>
        <w:rPr>
          <w:sz w:val="15"/>
          <w:szCs w:val="15"/>
        </w:rPr>
      </w:pPr>
      <w:r w:rsidRPr="00BE1783">
        <w:rPr>
          <w:rStyle w:val="Odwoanieprzypisudolnego"/>
          <w:sz w:val="15"/>
          <w:szCs w:val="15"/>
        </w:rPr>
        <w:footnoteRef/>
      </w:r>
      <w:r w:rsidRPr="00BE1783">
        <w:rPr>
          <w:sz w:val="15"/>
          <w:szCs w:val="15"/>
        </w:rPr>
        <w:t xml:space="preserve"> </w:t>
      </w:r>
      <w:r w:rsidRPr="00BE1783">
        <w:rPr>
          <w:rFonts w:cs="Calibri"/>
          <w:sz w:val="15"/>
          <w:szCs w:val="15"/>
        </w:rPr>
        <w:t>Dotyczy wyłącznie projektów, których wnioskowana kwota dofinansowania jest równa albo przekracza 2 mln zł.</w:t>
      </w:r>
    </w:p>
  </w:footnote>
  <w:footnote w:id="3">
    <w:p w:rsidR="001C7202" w:rsidRDefault="001C7202">
      <w:pPr>
        <w:pStyle w:val="Tekstprzypisudolnego"/>
      </w:pPr>
      <w:r w:rsidRPr="0023101F">
        <w:rPr>
          <w:rStyle w:val="Odwoanieprzypisudolnego"/>
          <w:rFonts w:ascii="Arial" w:hAnsi="Arial" w:cs="Arial"/>
        </w:rPr>
        <w:footnoteRef/>
      </w:r>
      <w:r w:rsidRPr="0023101F">
        <w:rPr>
          <w:rFonts w:ascii="Arial" w:hAnsi="Arial" w:cs="Arial"/>
          <w:sz w:val="16"/>
          <w:szCs w:val="16"/>
        </w:rPr>
        <w:t xml:space="preserve"> </w:t>
      </w:r>
      <w:r w:rsidRPr="0023101F">
        <w:rPr>
          <w:rFonts w:ascii="Arial" w:eastAsia="Times New Roman" w:hAnsi="Arial" w:cs="Arial"/>
          <w:sz w:val="16"/>
          <w:szCs w:val="16"/>
          <w:lang w:eastAsia="pl-PL"/>
        </w:rPr>
        <w:t>Przez instytucje otoczenia społeczno-gospodarczego należy rozumieć pracodawców, organizacje pracodawców, przedsiębiorców, organizacje przedsiębiorców, instytucje rynku pracy, szkoły wyższe, organizacje pozarządowe, partnerów społecznych oraz innych zidentyfikowanych przez Wnioskodawcę interesariuszy.</w:t>
      </w:r>
    </w:p>
  </w:footnote>
  <w:footnote w:id="4">
    <w:p w:rsidR="001C7202" w:rsidRPr="0023101F" w:rsidRDefault="001C7202">
      <w:pPr>
        <w:pStyle w:val="Tekstprzypisudolnego"/>
        <w:rPr>
          <w:rFonts w:ascii="Arial" w:hAnsi="Arial" w:cs="Arial"/>
          <w:sz w:val="16"/>
          <w:szCs w:val="16"/>
        </w:rPr>
      </w:pPr>
      <w:r w:rsidRPr="0023101F">
        <w:rPr>
          <w:rStyle w:val="Odwoanieprzypisudolnego"/>
          <w:rFonts w:ascii="Arial" w:hAnsi="Arial" w:cs="Arial"/>
        </w:rPr>
        <w:footnoteRef/>
      </w:r>
      <w:r w:rsidRPr="0023101F">
        <w:rPr>
          <w:rFonts w:ascii="Arial" w:hAnsi="Arial" w:cs="Arial"/>
          <w:sz w:val="16"/>
          <w:szCs w:val="16"/>
        </w:rPr>
        <w:t xml:space="preserve"> </w:t>
      </w:r>
      <w:r w:rsidRPr="0023101F">
        <w:rPr>
          <w:rFonts w:ascii="Arial" w:eastAsia="Times New Roman" w:hAnsi="Arial" w:cs="Arial"/>
          <w:sz w:val="16"/>
          <w:szCs w:val="16"/>
          <w:lang w:eastAsia="pl-PL"/>
        </w:rPr>
        <w:t>Finansowanie studiów podyplomowych jest możliwe, o ile spełniają wymogi określone w rozporządzeniu Ministra Nauki i Szkolnictwa Wyższego z dnia 17 stycznia 2012 r. w sprawie standardów kształcenia przygotowującego do wykonywania zawodu.</w:t>
      </w:r>
    </w:p>
  </w:footnote>
  <w:footnote w:id="5">
    <w:p w:rsidR="001C7202" w:rsidRPr="00991D6D" w:rsidRDefault="001C7202">
      <w:pPr>
        <w:pStyle w:val="Tekstprzypisudolnego"/>
      </w:pPr>
      <w:r w:rsidRPr="0023101F">
        <w:rPr>
          <w:rStyle w:val="Odwoanieprzypisudolnego"/>
          <w:rFonts w:ascii="Arial" w:hAnsi="Arial" w:cs="Arial"/>
        </w:rPr>
        <w:footnoteRef/>
      </w:r>
      <w:r w:rsidRPr="0023101F">
        <w:rPr>
          <w:rFonts w:ascii="Arial" w:hAnsi="Arial" w:cs="Arial"/>
          <w:sz w:val="16"/>
          <w:szCs w:val="16"/>
        </w:rPr>
        <w:t xml:space="preserve"> </w:t>
      </w:r>
      <w:r w:rsidRPr="0023101F">
        <w:rPr>
          <w:rFonts w:ascii="Arial" w:eastAsia="Times New Roman" w:hAnsi="Arial" w:cs="Arial"/>
          <w:sz w:val="16"/>
          <w:szCs w:val="16"/>
          <w:lang w:eastAsia="pl-PL"/>
        </w:rPr>
        <w:t>W przypadku tworzenia nowych kierunków nauczania, Wnioskodawca jest zobowiązany zamieścić informację, iż kierunki te uzyskają lub uzyskały pozytywną opinię właściwych podmiotów zgodnie z obowiązującym prawodawstwem krajowym.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96B8E"/>
    <w:multiLevelType w:val="hybridMultilevel"/>
    <w:tmpl w:val="DFFA374E"/>
    <w:lvl w:ilvl="0" w:tplc="7E8C2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6C3B25"/>
    <w:multiLevelType w:val="hybridMultilevel"/>
    <w:tmpl w:val="775EB228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F844C6"/>
    <w:multiLevelType w:val="hybridMultilevel"/>
    <w:tmpl w:val="24BA4578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2BD38BD"/>
    <w:multiLevelType w:val="hybridMultilevel"/>
    <w:tmpl w:val="C46636EA"/>
    <w:lvl w:ilvl="0" w:tplc="6FD6DFB6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B237A"/>
    <w:multiLevelType w:val="hybridMultilevel"/>
    <w:tmpl w:val="D5FCD0A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6F243D"/>
    <w:multiLevelType w:val="hybridMultilevel"/>
    <w:tmpl w:val="EA32381A"/>
    <w:lvl w:ilvl="0" w:tplc="04150019">
      <w:start w:val="1"/>
      <w:numFmt w:val="lowerLetter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5C8774F"/>
    <w:multiLevelType w:val="hybridMultilevel"/>
    <w:tmpl w:val="A46C750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6E2300B"/>
    <w:multiLevelType w:val="hybridMultilevel"/>
    <w:tmpl w:val="7F1CB8E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6E533A9"/>
    <w:multiLevelType w:val="hybridMultilevel"/>
    <w:tmpl w:val="19505E2E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6F934CB"/>
    <w:multiLevelType w:val="hybridMultilevel"/>
    <w:tmpl w:val="D9345832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0" w15:restartNumberingAfterBreak="0">
    <w:nsid w:val="07D36098"/>
    <w:multiLevelType w:val="hybridMultilevel"/>
    <w:tmpl w:val="07BC0C6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64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F108D0"/>
    <w:multiLevelType w:val="hybridMultilevel"/>
    <w:tmpl w:val="395AB0F0"/>
    <w:lvl w:ilvl="0" w:tplc="414200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1E5CE0"/>
    <w:multiLevelType w:val="hybridMultilevel"/>
    <w:tmpl w:val="AEC42A7E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4330F7"/>
    <w:multiLevelType w:val="hybridMultilevel"/>
    <w:tmpl w:val="7C58B4BE"/>
    <w:lvl w:ilvl="0" w:tplc="FE082A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1CC739A"/>
    <w:multiLevelType w:val="hybridMultilevel"/>
    <w:tmpl w:val="39D632DE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19B6C1D"/>
    <w:multiLevelType w:val="hybridMultilevel"/>
    <w:tmpl w:val="C9C40EE8"/>
    <w:lvl w:ilvl="0" w:tplc="7E8C2F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A38E7"/>
    <w:multiLevelType w:val="hybridMultilevel"/>
    <w:tmpl w:val="4FD63D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5D198F"/>
    <w:multiLevelType w:val="hybridMultilevel"/>
    <w:tmpl w:val="8096675E"/>
    <w:lvl w:ilvl="0" w:tplc="ACC0E19A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5E6FEE"/>
    <w:multiLevelType w:val="hybridMultilevel"/>
    <w:tmpl w:val="9006C5F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ACC6975"/>
    <w:multiLevelType w:val="hybridMultilevel"/>
    <w:tmpl w:val="F376A4A4"/>
    <w:lvl w:ilvl="0" w:tplc="DB56FC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018EE"/>
    <w:multiLevelType w:val="hybridMultilevel"/>
    <w:tmpl w:val="0DFA7EF6"/>
    <w:lvl w:ilvl="0" w:tplc="B3BA7DC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5B4146"/>
    <w:multiLevelType w:val="hybridMultilevel"/>
    <w:tmpl w:val="019611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F026C1"/>
    <w:multiLevelType w:val="hybridMultilevel"/>
    <w:tmpl w:val="C1D824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287740A"/>
    <w:multiLevelType w:val="hybridMultilevel"/>
    <w:tmpl w:val="DE82E64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9D5E01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5" w15:restartNumberingAfterBreak="0">
    <w:nsid w:val="4A4928E4"/>
    <w:multiLevelType w:val="hybridMultilevel"/>
    <w:tmpl w:val="F2E6FC5A"/>
    <w:lvl w:ilvl="0" w:tplc="04150017">
      <w:start w:val="1"/>
      <w:numFmt w:val="lowerLetter"/>
      <w:lvlText w:val="%1)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6" w15:restartNumberingAfterBreak="0">
    <w:nsid w:val="4AEC09B7"/>
    <w:multiLevelType w:val="hybridMultilevel"/>
    <w:tmpl w:val="0A78D82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C0531C6"/>
    <w:multiLevelType w:val="hybridMultilevel"/>
    <w:tmpl w:val="52E6D88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F5B1F77"/>
    <w:multiLevelType w:val="hybridMultilevel"/>
    <w:tmpl w:val="9556B130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746995"/>
    <w:multiLevelType w:val="hybridMultilevel"/>
    <w:tmpl w:val="71BA4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0D426B7"/>
    <w:multiLevelType w:val="hybridMultilevel"/>
    <w:tmpl w:val="FCDC45F6"/>
    <w:lvl w:ilvl="0" w:tplc="6AC8EA8A">
      <w:start w:val="1"/>
      <w:numFmt w:val="decimal"/>
      <w:lvlText w:val="%1."/>
      <w:lvlJc w:val="left"/>
      <w:pPr>
        <w:ind w:left="501" w:hanging="360"/>
      </w:pPr>
      <w:rPr>
        <w:rFonts w:asciiTheme="minorHAnsi" w:eastAsiaTheme="minorHAnsi" w:hAnsiTheme="minorHAns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1" w15:restartNumberingAfterBreak="0">
    <w:nsid w:val="50E352CD"/>
    <w:multiLevelType w:val="hybridMultilevel"/>
    <w:tmpl w:val="AA82CE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D50B5D"/>
    <w:multiLevelType w:val="hybridMultilevel"/>
    <w:tmpl w:val="A46C750E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2DF7B88"/>
    <w:multiLevelType w:val="hybridMultilevel"/>
    <w:tmpl w:val="C1AA3350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535760"/>
    <w:multiLevelType w:val="hybridMultilevel"/>
    <w:tmpl w:val="A9CA424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5" w15:restartNumberingAfterBreak="0">
    <w:nsid w:val="5C2831F5"/>
    <w:multiLevelType w:val="hybridMultilevel"/>
    <w:tmpl w:val="71C030B2"/>
    <w:lvl w:ilvl="0" w:tplc="20827C1C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947774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7" w15:restartNumberingAfterBreak="0">
    <w:nsid w:val="63C262AA"/>
    <w:multiLevelType w:val="hybridMultilevel"/>
    <w:tmpl w:val="509CBF4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8" w15:restartNumberingAfterBreak="0">
    <w:nsid w:val="66E53F42"/>
    <w:multiLevelType w:val="hybridMultilevel"/>
    <w:tmpl w:val="F1DACA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A8560A"/>
    <w:multiLevelType w:val="hybridMultilevel"/>
    <w:tmpl w:val="4962A066"/>
    <w:lvl w:ilvl="0" w:tplc="1602B0F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8A00D43"/>
    <w:multiLevelType w:val="hybridMultilevel"/>
    <w:tmpl w:val="D4CAC802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960003"/>
    <w:multiLevelType w:val="hybridMultilevel"/>
    <w:tmpl w:val="4CEC4FE6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CD3B9A"/>
    <w:multiLevelType w:val="hybridMultilevel"/>
    <w:tmpl w:val="019611B0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A644156"/>
    <w:multiLevelType w:val="hybridMultilevel"/>
    <w:tmpl w:val="B02CFDA0"/>
    <w:lvl w:ilvl="0" w:tplc="8C320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797ECE"/>
    <w:multiLevelType w:val="hybridMultilevel"/>
    <w:tmpl w:val="1A5EF99C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5" w15:restartNumberingAfterBreak="0">
    <w:nsid w:val="7C563C93"/>
    <w:multiLevelType w:val="hybridMultilevel"/>
    <w:tmpl w:val="0672B64A"/>
    <w:lvl w:ilvl="0" w:tplc="B68244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7"/>
  </w:num>
  <w:num w:numId="3">
    <w:abstractNumId w:val="38"/>
  </w:num>
  <w:num w:numId="4">
    <w:abstractNumId w:val="20"/>
  </w:num>
  <w:num w:numId="5">
    <w:abstractNumId w:val="34"/>
  </w:num>
  <w:num w:numId="6">
    <w:abstractNumId w:val="27"/>
  </w:num>
  <w:num w:numId="7">
    <w:abstractNumId w:val="43"/>
  </w:num>
  <w:num w:numId="8">
    <w:abstractNumId w:val="13"/>
  </w:num>
  <w:num w:numId="9">
    <w:abstractNumId w:val="23"/>
  </w:num>
  <w:num w:numId="10">
    <w:abstractNumId w:val="40"/>
  </w:num>
  <w:num w:numId="11">
    <w:abstractNumId w:val="28"/>
  </w:num>
  <w:num w:numId="12">
    <w:abstractNumId w:val="7"/>
  </w:num>
  <w:num w:numId="13">
    <w:abstractNumId w:val="1"/>
  </w:num>
  <w:num w:numId="14">
    <w:abstractNumId w:val="33"/>
  </w:num>
  <w:num w:numId="15">
    <w:abstractNumId w:val="41"/>
  </w:num>
  <w:num w:numId="16">
    <w:abstractNumId w:val="12"/>
  </w:num>
  <w:num w:numId="17">
    <w:abstractNumId w:val="45"/>
  </w:num>
  <w:num w:numId="18">
    <w:abstractNumId w:val="37"/>
  </w:num>
  <w:num w:numId="19">
    <w:abstractNumId w:val="30"/>
  </w:num>
  <w:num w:numId="20">
    <w:abstractNumId w:val="9"/>
  </w:num>
  <w:num w:numId="21">
    <w:abstractNumId w:val="24"/>
  </w:num>
  <w:num w:numId="22">
    <w:abstractNumId w:val="10"/>
  </w:num>
  <w:num w:numId="23">
    <w:abstractNumId w:val="5"/>
  </w:num>
  <w:num w:numId="24">
    <w:abstractNumId w:val="2"/>
  </w:num>
  <w:num w:numId="25">
    <w:abstractNumId w:val="6"/>
  </w:num>
  <w:num w:numId="26">
    <w:abstractNumId w:val="42"/>
  </w:num>
  <w:num w:numId="27">
    <w:abstractNumId w:val="31"/>
  </w:num>
  <w:num w:numId="28">
    <w:abstractNumId w:val="16"/>
  </w:num>
  <w:num w:numId="29">
    <w:abstractNumId w:val="29"/>
  </w:num>
  <w:num w:numId="30">
    <w:abstractNumId w:val="8"/>
  </w:num>
  <w:num w:numId="31">
    <w:abstractNumId w:val="39"/>
  </w:num>
  <w:num w:numId="32">
    <w:abstractNumId w:val="22"/>
  </w:num>
  <w:num w:numId="33">
    <w:abstractNumId w:val="3"/>
  </w:num>
  <w:num w:numId="34">
    <w:abstractNumId w:val="25"/>
  </w:num>
  <w:num w:numId="35">
    <w:abstractNumId w:val="44"/>
  </w:num>
  <w:num w:numId="36">
    <w:abstractNumId w:val="36"/>
  </w:num>
  <w:num w:numId="37">
    <w:abstractNumId w:val="26"/>
  </w:num>
  <w:num w:numId="38">
    <w:abstractNumId w:val="14"/>
  </w:num>
  <w:num w:numId="39">
    <w:abstractNumId w:val="32"/>
  </w:num>
  <w:num w:numId="40">
    <w:abstractNumId w:val="21"/>
  </w:num>
  <w:num w:numId="41">
    <w:abstractNumId w:val="11"/>
  </w:num>
  <w:num w:numId="42">
    <w:abstractNumId w:val="4"/>
  </w:num>
  <w:num w:numId="43">
    <w:abstractNumId w:val="18"/>
  </w:num>
  <w:num w:numId="44">
    <w:abstractNumId w:val="35"/>
  </w:num>
  <w:num w:numId="45">
    <w:abstractNumId w:val="15"/>
  </w:num>
  <w:num w:numId="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83B"/>
    <w:rsid w:val="000166F8"/>
    <w:rsid w:val="000905B8"/>
    <w:rsid w:val="000A5D1D"/>
    <w:rsid w:val="000E0F51"/>
    <w:rsid w:val="000E5509"/>
    <w:rsid w:val="00130C96"/>
    <w:rsid w:val="00151514"/>
    <w:rsid w:val="00160A85"/>
    <w:rsid w:val="00184987"/>
    <w:rsid w:val="001C7202"/>
    <w:rsid w:val="001D501D"/>
    <w:rsid w:val="002032D0"/>
    <w:rsid w:val="00213CB1"/>
    <w:rsid w:val="00277667"/>
    <w:rsid w:val="002F773C"/>
    <w:rsid w:val="00307849"/>
    <w:rsid w:val="003361B0"/>
    <w:rsid w:val="003A55DC"/>
    <w:rsid w:val="003B1764"/>
    <w:rsid w:val="003C1A2F"/>
    <w:rsid w:val="003E0CCF"/>
    <w:rsid w:val="00436F29"/>
    <w:rsid w:val="004E18E0"/>
    <w:rsid w:val="004E2E3F"/>
    <w:rsid w:val="004E6265"/>
    <w:rsid w:val="004F48E4"/>
    <w:rsid w:val="0052182C"/>
    <w:rsid w:val="005554F0"/>
    <w:rsid w:val="005845DD"/>
    <w:rsid w:val="005D41B0"/>
    <w:rsid w:val="005E55B0"/>
    <w:rsid w:val="00626745"/>
    <w:rsid w:val="0066283B"/>
    <w:rsid w:val="006E421B"/>
    <w:rsid w:val="0075427A"/>
    <w:rsid w:val="007610FF"/>
    <w:rsid w:val="007C730A"/>
    <w:rsid w:val="00813144"/>
    <w:rsid w:val="008460B8"/>
    <w:rsid w:val="00860A36"/>
    <w:rsid w:val="008C602F"/>
    <w:rsid w:val="008E3EF1"/>
    <w:rsid w:val="009205EA"/>
    <w:rsid w:val="009212AE"/>
    <w:rsid w:val="00951015"/>
    <w:rsid w:val="009A6B77"/>
    <w:rsid w:val="009B3875"/>
    <w:rsid w:val="009F4A2E"/>
    <w:rsid w:val="00A450F4"/>
    <w:rsid w:val="00A65732"/>
    <w:rsid w:val="00A71244"/>
    <w:rsid w:val="00AC4384"/>
    <w:rsid w:val="00AE0685"/>
    <w:rsid w:val="00B260B1"/>
    <w:rsid w:val="00B37BD2"/>
    <w:rsid w:val="00B40AE2"/>
    <w:rsid w:val="00B47AEC"/>
    <w:rsid w:val="00B71E7F"/>
    <w:rsid w:val="00B90B56"/>
    <w:rsid w:val="00BB100A"/>
    <w:rsid w:val="00BC1C59"/>
    <w:rsid w:val="00BF4F2A"/>
    <w:rsid w:val="00C40C34"/>
    <w:rsid w:val="00C44E09"/>
    <w:rsid w:val="00C4754F"/>
    <w:rsid w:val="00C905A2"/>
    <w:rsid w:val="00D21283"/>
    <w:rsid w:val="00D46D8D"/>
    <w:rsid w:val="00D60EFC"/>
    <w:rsid w:val="00D81156"/>
    <w:rsid w:val="00DB56CE"/>
    <w:rsid w:val="00DD4B70"/>
    <w:rsid w:val="00E26BF5"/>
    <w:rsid w:val="00E60879"/>
    <w:rsid w:val="00E862A0"/>
    <w:rsid w:val="00FC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782822-41A8-43D0-A4BA-08345119A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5427A"/>
  </w:style>
  <w:style w:type="paragraph" w:styleId="Nagwek1">
    <w:name w:val="heading 1"/>
    <w:basedOn w:val="Normalny"/>
    <w:next w:val="Normalny"/>
    <w:link w:val="Nagwek1Znak"/>
    <w:uiPriority w:val="9"/>
    <w:qFormat/>
    <w:rsid w:val="006E42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421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ela-Siatka1">
    <w:name w:val="Tabela - Siatka1"/>
    <w:basedOn w:val="Standardowy"/>
    <w:next w:val="Tabela-Siatka"/>
    <w:uiPriority w:val="59"/>
    <w:rsid w:val="000E0F51"/>
    <w:pPr>
      <w:spacing w:after="0" w:line="240" w:lineRule="auto"/>
    </w:pPr>
    <w:rPr>
      <w:rFonts w:eastAsia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unhideWhenUsed/>
    <w:rsid w:val="000E0F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E0F51"/>
    <w:pPr>
      <w:spacing w:line="240" w:lineRule="auto"/>
    </w:pPr>
    <w:rPr>
      <w:rFonts w:ascii="Calibri" w:eastAsia="Times New Roman" w:hAnsi="Calibri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E0F51"/>
    <w:rPr>
      <w:rFonts w:ascii="Calibri" w:eastAsia="Times New Roman" w:hAnsi="Calibri" w:cs="Times New Roman"/>
      <w:sz w:val="20"/>
      <w:szCs w:val="20"/>
      <w:lang w:eastAsia="pl-PL"/>
    </w:rPr>
  </w:style>
  <w:style w:type="paragraph" w:customStyle="1" w:styleId="TekstprzypisuZnakZnakZnakZnakZnak1">
    <w:name w:val="Tekst przypisu Znak Znak Znak Znak Znak1"/>
    <w:basedOn w:val="Normalny"/>
    <w:next w:val="Tekstprzypisudolnego"/>
    <w:link w:val="TekstprzypisudolnegoZnak"/>
    <w:unhideWhenUsed/>
    <w:qFormat/>
    <w:rsid w:val="000E0F51"/>
    <w:pPr>
      <w:spacing w:after="0" w:line="240" w:lineRule="auto"/>
    </w:pPr>
    <w:rPr>
      <w:rFonts w:eastAsia="Calibri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Tekst przypisu Znak,Znak Znak1"/>
    <w:basedOn w:val="Domylnaczcionkaakapitu"/>
    <w:link w:val="TekstprzypisuZnakZnakZnakZnakZnak1"/>
    <w:uiPriority w:val="99"/>
    <w:rsid w:val="000E0F51"/>
    <w:rPr>
      <w:rFonts w:eastAsia="Calibri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rsid w:val="000E0F51"/>
    <w:rPr>
      <w:vertAlign w:val="superscript"/>
    </w:rPr>
  </w:style>
  <w:style w:type="table" w:styleId="Tabela-Siatka">
    <w:name w:val="Table Grid"/>
    <w:basedOn w:val="Standardowy"/>
    <w:uiPriority w:val="59"/>
    <w:rsid w:val="000E0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"/>
    <w:basedOn w:val="Normalny"/>
    <w:link w:val="TekstprzypisudolnegoZnak1"/>
    <w:uiPriority w:val="99"/>
    <w:unhideWhenUsed/>
    <w:qFormat/>
    <w:rsid w:val="000E0F51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aliases w:val="Tekst przypisu Znak1,-E Fuﬂnotentext Znak1,Fuﬂnotentext Ursprung Znak1,footnote text Znak1,Fußnotentext Ursprung Znak1,-E Fußnotentext Znak1,Fußnote Znak1,Podrozdział Znak1,Footnote Znak1,Podrozdzia3 Znak1,Znak Znak2,o Znak"/>
    <w:basedOn w:val="Domylnaczcionkaakapitu"/>
    <w:link w:val="Tekstprzypisudolnego"/>
    <w:uiPriority w:val="99"/>
    <w:semiHidden/>
    <w:rsid w:val="000E0F51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E0F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F51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B100A"/>
    <w:rPr>
      <w:color w:val="0000FF" w:themeColor="hyperlink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60B8"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460B8"/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Akapitzlist">
    <w:name w:val="List Paragraph"/>
    <w:aliases w:val="List Paragraph,Numerowanie,Akapit z listą BS,Kolorowa lista — akcent 11"/>
    <w:basedOn w:val="Normalny"/>
    <w:link w:val="AkapitzlistZnak"/>
    <w:uiPriority w:val="34"/>
    <w:qFormat/>
    <w:rsid w:val="00C40C34"/>
    <w:pPr>
      <w:spacing w:after="120" w:line="264" w:lineRule="auto"/>
      <w:ind w:left="720"/>
      <w:contextualSpacing/>
    </w:pPr>
    <w:rPr>
      <w:rFonts w:eastAsiaTheme="minorEastAsia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uiPriority w:val="9"/>
    <w:rsid w:val="006E421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6E42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kapitzlistZnak">
    <w:name w:val="Akapit z listą Znak"/>
    <w:aliases w:val="List Paragraph Znak,Numerowanie Znak,Akapit z listą BS Znak,Kolorowa lista — akcent 11 Znak"/>
    <w:link w:val="Akapitzlist"/>
    <w:uiPriority w:val="34"/>
    <w:locked/>
    <w:rsid w:val="00B260B1"/>
    <w:rPr>
      <w:rFonts w:eastAsiaTheme="minorEastAsia"/>
      <w:sz w:val="21"/>
      <w:szCs w:val="21"/>
    </w:rPr>
  </w:style>
  <w:style w:type="paragraph" w:customStyle="1" w:styleId="Default">
    <w:name w:val="Default"/>
    <w:rsid w:val="008E3EF1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pl-PL"/>
    </w:rPr>
  </w:style>
  <w:style w:type="paragraph" w:styleId="Lista">
    <w:name w:val="List"/>
    <w:basedOn w:val="Normalny"/>
    <w:uiPriority w:val="99"/>
    <w:unhideWhenUsed/>
    <w:rsid w:val="00FC409B"/>
    <w:pPr>
      <w:ind w:left="360" w:hanging="360"/>
      <w:contextualSpacing/>
    </w:pPr>
    <w:rPr>
      <w:rFonts w:ascii="Calibri" w:eastAsia="Calibri" w:hAnsi="Calibri" w:cs="Times New Roman"/>
    </w:rPr>
  </w:style>
  <w:style w:type="paragraph" w:styleId="Tytu">
    <w:name w:val="Title"/>
    <w:basedOn w:val="Normalny"/>
    <w:next w:val="Normalny"/>
    <w:link w:val="TytuZnak"/>
    <w:uiPriority w:val="10"/>
    <w:qFormat/>
    <w:rsid w:val="00D60EFC"/>
    <w:pPr>
      <w:spacing w:after="0" w:line="240" w:lineRule="auto"/>
      <w:contextualSpacing/>
      <w:jc w:val="both"/>
    </w:pPr>
    <w:rPr>
      <w:rFonts w:ascii="Cambria" w:eastAsia="Times New Roman" w:hAnsi="Cambria" w:cs="Times New Roman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60EFC"/>
    <w:rPr>
      <w:rFonts w:ascii="Cambria" w:eastAsia="Times New Roman" w:hAnsi="Cambria" w:cs="Times New Roman"/>
      <w:spacing w:val="-10"/>
      <w:kern w:val="28"/>
      <w:sz w:val="56"/>
      <w:szCs w:val="56"/>
    </w:rPr>
  </w:style>
  <w:style w:type="paragraph" w:customStyle="1" w:styleId="Standard">
    <w:name w:val="Standard"/>
    <w:rsid w:val="00BC1C59"/>
    <w:pPr>
      <w:suppressAutoHyphens/>
      <w:autoSpaceDN w:val="0"/>
      <w:spacing w:after="160" w:line="249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unduszedlamazowsza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7FE1CC-A54D-475E-8C31-DDD67FD3B6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15</Pages>
  <Words>2837</Words>
  <Characters>17026</Characters>
  <Application>Microsoft Office Word</Application>
  <DocSecurity>0</DocSecurity>
  <Lines>141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Kamila Kątna-Ćwikilewicz</dc:creator>
  <cp:lastModifiedBy>Kroczek-Rydzewska Emilia</cp:lastModifiedBy>
  <cp:revision>12</cp:revision>
  <cp:lastPrinted>2018-01-15T12:12:00Z</cp:lastPrinted>
  <dcterms:created xsi:type="dcterms:W3CDTF">2017-10-26T12:14:00Z</dcterms:created>
  <dcterms:modified xsi:type="dcterms:W3CDTF">2018-09-20T11:30:00Z</dcterms:modified>
</cp:coreProperties>
</file>